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NewRoman"/>
          <w:szCs w:val="32"/>
        </w:rPr>
      </w:pPr>
      <w:r>
        <w:rPr>
          <w:rFonts w:hint="eastAsia" w:ascii="Times New Roman" w:hAnsi="Times New Roman" w:eastAsia="黑体" w:cs="TimesNewRoman"/>
          <w:szCs w:val="32"/>
        </w:rPr>
        <w:t>附件1-1</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spacing w:line="560" w:lineRule="exact"/>
        <w:jc w:val="center"/>
        <w:rPr>
          <w:rFonts w:ascii="Times New Roman" w:hAnsi="Times New Roman" w:eastAsia="华文中宋" w:cs="TimesNewRoman"/>
          <w:b/>
          <w:sz w:val="44"/>
          <w:szCs w:val="44"/>
        </w:rPr>
      </w:pPr>
      <w:r>
        <w:rPr>
          <w:rFonts w:hint="eastAsia" w:ascii="Times New Roman" w:hAnsi="Times New Roman" w:eastAsia="华文中宋" w:cs="TimesNewRoman"/>
          <w:b/>
          <w:sz w:val="44"/>
          <w:szCs w:val="44"/>
        </w:rPr>
        <w:t>淮北市审计局2024年</w:t>
      </w:r>
    </w:p>
    <w:p>
      <w:pPr>
        <w:spacing w:line="560" w:lineRule="exact"/>
        <w:jc w:val="center"/>
        <w:rPr>
          <w:rFonts w:ascii="Times New Roman" w:hAnsi="Times New Roman" w:eastAsia="华文中宋" w:cs="TimesNewRoman"/>
          <w:b/>
          <w:sz w:val="44"/>
          <w:szCs w:val="44"/>
        </w:rPr>
      </w:pPr>
      <w:r>
        <w:rPr>
          <w:rFonts w:hint="eastAsia" w:ascii="Times New Roman" w:hAnsi="Times New Roman" w:eastAsia="华文中宋" w:cs="TimesNewRoman"/>
          <w:b/>
          <w:sz w:val="44"/>
          <w:szCs w:val="44"/>
        </w:rPr>
        <w:t>部门</w:t>
      </w:r>
      <w:bookmarkStart w:id="0" w:name="_GoBack"/>
      <w:bookmarkEnd w:id="0"/>
      <w:r>
        <w:rPr>
          <w:rFonts w:hint="eastAsia" w:ascii="Times New Roman" w:hAnsi="Times New Roman" w:eastAsia="华文中宋" w:cs="TimesNewRoman"/>
          <w:b/>
          <w:sz w:val="44"/>
          <w:szCs w:val="44"/>
        </w:rPr>
        <w:t>预算</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pStyle w:val="4"/>
        <w:adjustRightInd w:val="0"/>
        <w:snapToGrid w:val="0"/>
        <w:spacing w:line="560" w:lineRule="exact"/>
        <w:jc w:val="center"/>
        <w:rPr>
          <w:rFonts w:ascii="Times New Roman" w:hAnsi="Times New Roman" w:eastAsia="黑体" w:cs="TimesNewRoman"/>
          <w:bCs/>
          <w:sz w:val="44"/>
          <w:szCs w:val="44"/>
        </w:rPr>
      </w:pPr>
    </w:p>
    <w:p>
      <w:pPr>
        <w:pStyle w:val="4"/>
        <w:adjustRightInd w:val="0"/>
        <w:snapToGrid w:val="0"/>
        <w:spacing w:line="560" w:lineRule="exact"/>
        <w:jc w:val="center"/>
        <w:rPr>
          <w:rFonts w:ascii="Times New Roman" w:hAnsi="Times New Roman" w:eastAsia="黑体" w:cs="TimesNewRoman"/>
          <w:bCs/>
          <w:sz w:val="44"/>
          <w:szCs w:val="44"/>
        </w:rPr>
      </w:pPr>
      <w:r>
        <w:rPr>
          <w:rFonts w:hint="eastAsia" w:ascii="Times New Roman" w:hAnsi="Times New Roman" w:eastAsia="黑体" w:cs="TimesNewRoman"/>
          <w:bCs/>
          <w:sz w:val="44"/>
          <w:szCs w:val="44"/>
        </w:rPr>
        <w:t>2024年2月</w:t>
      </w:r>
    </w:p>
    <w:p>
      <w:pPr>
        <w:rPr>
          <w:rFonts w:ascii="Times New Roman" w:hAnsi="Times New Roman"/>
        </w:rPr>
      </w:pPr>
    </w:p>
    <w:p>
      <w:pPr>
        <w:rPr>
          <w:rFonts w:ascii="Times New Roman" w:hAnsi="Times New Roman"/>
        </w:rPr>
      </w:pPr>
    </w:p>
    <w:p>
      <w:pPr>
        <w:pStyle w:val="4"/>
        <w:adjustRightInd w:val="0"/>
        <w:snapToGrid w:val="0"/>
        <w:spacing w:line="560" w:lineRule="exact"/>
        <w:jc w:val="center"/>
        <w:rPr>
          <w:rFonts w:ascii="Times New Roman" w:hAnsi="Times New Roman" w:eastAsia="黑体" w:cs="TimesNewRoman"/>
          <w:bCs/>
          <w:sz w:val="44"/>
          <w:szCs w:val="44"/>
        </w:rPr>
      </w:pPr>
      <w:r>
        <w:rPr>
          <w:rFonts w:hint="eastAsia" w:ascii="Times New Roman" w:hAnsi="Times New Roman" w:eastAsia="黑体" w:cs="TimesNewRoman"/>
          <w:bCs/>
          <w:sz w:val="44"/>
          <w:szCs w:val="44"/>
        </w:rPr>
        <w:t>目  录</w:t>
      </w:r>
    </w:p>
    <w:p>
      <w:pPr>
        <w:rPr>
          <w:rFonts w:ascii="Times New Roman" w:hAnsi="Times New Roman"/>
        </w:rPr>
      </w:pPr>
    </w:p>
    <w:p>
      <w:pPr>
        <w:pStyle w:val="4"/>
        <w:adjustRightInd w:val="0"/>
        <w:snapToGrid w:val="0"/>
        <w:spacing w:line="40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第一部分 部门（单位）概况</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1、主要职责</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2、部门（单位）预算构成</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3 、2024年度主要工作任务</w:t>
      </w:r>
    </w:p>
    <w:p>
      <w:pPr>
        <w:pStyle w:val="4"/>
        <w:adjustRightInd w:val="0"/>
        <w:snapToGrid w:val="0"/>
        <w:spacing w:line="40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第二部分 2024年部门（单位）预算表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1、淮北市审计局2024年收支总表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2、淮北市审计局2024年收入总表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3、淮北市审计局2024年支出总表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4、淮北市审计局2024年财政拨款收支总表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5、淮北市审计局2024年一般公共预算支出表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6、淮北市审计局2024年一般公共预算基本支出表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7、淮北市审计局2024年政府性基金预算支出表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8、淮北市审计局2024年国有资本经营预算支出表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9、淮北市审计局2024年项目支出表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10、淮北市审计局2024年政府采购支出表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11、淮北市审计局2024年政府购买服务支出表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12、淮北市审计局</w:t>
      </w:r>
      <w:r>
        <w:rPr>
          <w:rFonts w:ascii="Times New Roman" w:hAnsi="Times New Roman" w:eastAsia="仿宋_GB2312" w:cs="TimesNewRoman"/>
          <w:bCs/>
          <w:sz w:val="32"/>
          <w:szCs w:val="32"/>
        </w:rPr>
        <w:t>2024年通用资产配置支出表</w:t>
      </w:r>
    </w:p>
    <w:p>
      <w:pPr>
        <w:pStyle w:val="4"/>
        <w:adjustRightInd w:val="0"/>
        <w:snapToGrid w:val="0"/>
        <w:spacing w:line="40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第三部分 2024年部门（单位）预算情况说明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1、关于2024年收支总表的说明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2、关于2024年收入总表的说明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3、关于2024年支出总表的说明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4、关于2024年财政拨款收支总表的说明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5、关于2024年一般公共预算支出表的说明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6、关于2024年一般公共预算基本支出表的说明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7、关于2024年政府性基金预算支出表的说明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8、关于2024年国有资本经营预算支出表的说明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9、关于2024年项目支出表的说明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10、关于2024年政府采购支出表的说明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11、关于2024年政府购买服务支出表的说明</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12、其他重要事项情况说明</w:t>
      </w:r>
    </w:p>
    <w:p>
      <w:pPr>
        <w:pStyle w:val="4"/>
        <w:adjustRightInd w:val="0"/>
        <w:snapToGrid w:val="0"/>
        <w:spacing w:line="40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第四部分 名词解释</w:t>
      </w:r>
    </w:p>
    <w:p>
      <w:pPr>
        <w:pStyle w:val="4"/>
        <w:adjustRightInd w:val="0"/>
        <w:snapToGrid w:val="0"/>
        <w:spacing w:line="40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第五部分 其它公开事项</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1、淮北市审计局2024年部门预算纳入绩效考评项目表</w:t>
      </w:r>
    </w:p>
    <w:p>
      <w:pPr>
        <w:pStyle w:val="4"/>
        <w:adjustRightInd w:val="0"/>
        <w:snapToGrid w:val="0"/>
        <w:spacing w:line="400" w:lineRule="exact"/>
        <w:ind w:firstLine="800" w:firstLineChars="250"/>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2、淮北市审计局2024年部门预算专项资金管理清单（专栏公开）</w:t>
      </w:r>
    </w:p>
    <w:p>
      <w:pPr>
        <w:pStyle w:val="4"/>
        <w:adjustRightInd w:val="0"/>
        <w:snapToGrid w:val="0"/>
        <w:spacing w:line="400" w:lineRule="exact"/>
        <w:ind w:firstLine="800" w:firstLineChars="250"/>
        <w:rPr>
          <w:rFonts w:ascii="Times New Roman" w:hAnsi="Times New Roman" w:eastAsia="仿宋_GB2312" w:cs="TimesNewRoman"/>
          <w:bCs/>
          <w:sz w:val="32"/>
          <w:szCs w:val="32"/>
        </w:rPr>
      </w:pPr>
    </w:p>
    <w:p>
      <w:pPr>
        <w:pStyle w:val="4"/>
        <w:adjustRightInd w:val="0"/>
        <w:snapToGrid w:val="0"/>
        <w:spacing w:line="560" w:lineRule="exact"/>
        <w:jc w:val="center"/>
        <w:rPr>
          <w:rFonts w:ascii="Times New Roman" w:hAnsi="Times New Roman" w:eastAsia="黑体" w:cs="TimesNewRoman"/>
          <w:bCs/>
          <w:sz w:val="36"/>
          <w:szCs w:val="36"/>
        </w:rPr>
      </w:pPr>
    </w:p>
    <w:p>
      <w:pPr>
        <w:pStyle w:val="4"/>
        <w:adjustRightInd w:val="0"/>
        <w:snapToGrid w:val="0"/>
        <w:spacing w:line="560" w:lineRule="exact"/>
        <w:jc w:val="center"/>
        <w:rPr>
          <w:rFonts w:ascii="Times New Roman" w:hAnsi="Times New Roman" w:eastAsia="黑体" w:cs="TimesNewRoman"/>
          <w:bCs/>
          <w:sz w:val="36"/>
          <w:szCs w:val="36"/>
        </w:rPr>
      </w:pPr>
    </w:p>
    <w:p>
      <w:pPr>
        <w:pStyle w:val="4"/>
        <w:adjustRightInd w:val="0"/>
        <w:snapToGrid w:val="0"/>
        <w:spacing w:line="560" w:lineRule="exact"/>
        <w:jc w:val="center"/>
        <w:rPr>
          <w:rFonts w:ascii="Times New Roman" w:hAnsi="Times New Roman" w:eastAsia="黑体" w:cs="TimesNewRoman"/>
          <w:bCs/>
          <w:sz w:val="36"/>
          <w:szCs w:val="36"/>
        </w:rPr>
      </w:pPr>
    </w:p>
    <w:p>
      <w:pPr>
        <w:pStyle w:val="4"/>
        <w:adjustRightInd w:val="0"/>
        <w:snapToGrid w:val="0"/>
        <w:spacing w:line="560" w:lineRule="exact"/>
        <w:jc w:val="center"/>
        <w:rPr>
          <w:rFonts w:ascii="Times New Roman" w:hAnsi="Times New Roman" w:eastAsia="黑体" w:cs="TimesNewRoman"/>
          <w:bCs/>
          <w:sz w:val="36"/>
          <w:szCs w:val="36"/>
        </w:rPr>
      </w:pPr>
      <w:r>
        <w:rPr>
          <w:rFonts w:hint="eastAsia" w:ascii="Times New Roman" w:hAnsi="Times New Roman" w:eastAsia="黑体" w:cs="TimesNewRoman"/>
          <w:bCs/>
          <w:sz w:val="36"/>
          <w:szCs w:val="36"/>
        </w:rPr>
        <w:t>第一部分 部门（单位）概况</w:t>
      </w:r>
    </w:p>
    <w:p>
      <w:pPr>
        <w:rPr>
          <w:rFonts w:ascii="Times New Roman" w:hAnsi="Times New Roman"/>
        </w:rPr>
      </w:pP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一、主要职责</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一）主管全市审计工作。负责对市级财政收支和法律法规规定属于审计监督范围的财政收支的真实、合法和效益进行审计监督，对公共资金、国有资产、国有资源和领导干部履行经济责任情况实行审计全覆盖，对领导干部实行自然资源资产离任审计，对国家有关重大政策措施贯彻落实情况进行跟踪审计。对审计、专项审计调查和核查社会审计机构相关审计报告的结果承担责任，并负有督促被审计单位整改的责任</w:t>
      </w:r>
      <w:r>
        <w:rPr>
          <w:rFonts w:hint="eastAsia" w:ascii="Times New Roman" w:hAnsi="Times New Roman" w:eastAsia="仿宋_GB2312"/>
          <w:sz w:val="32"/>
          <w:szCs w:val="32"/>
        </w:rPr>
        <w:t>。</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二）贯彻执行国家审计方针政策和法律法规规章，起草审计相关地方性法规规章草案。制定并组织实施专业领域审计工作规划。参与起草财政经济及其相关方面的地方性法规规章草案，提出相关政策建议。对直接审计、调查和核查的事项依法进行审计评价，作出审计决定或提出审计建议</w:t>
      </w:r>
      <w:r>
        <w:rPr>
          <w:rFonts w:hint="eastAsia" w:ascii="Times New Roman" w:hAnsi="Times New Roman" w:eastAsia="仿宋_GB2312"/>
          <w:sz w:val="32"/>
          <w:szCs w:val="32"/>
        </w:rPr>
        <w:t>。</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三）向市长提交年度市级预算执行和其他财政收支情况的审计结果报告。受市政府委托，向市人大常委会提出市级预算执行和其他财政收支情况的审计工作报告、审计查出问题整改情况报告。向市委、市政府报告对其他事项的审计和专项审计调查情况及结果。依法向社会公布审计结果。向审计厅报告和向市直有关部门、县区党委和政府通报审计情况及结果</w:t>
      </w:r>
      <w:r>
        <w:rPr>
          <w:rFonts w:hint="eastAsia" w:ascii="Times New Roman" w:hAnsi="Times New Roman" w:eastAsia="仿宋_GB2312"/>
          <w:sz w:val="32"/>
          <w:szCs w:val="32"/>
        </w:rPr>
        <w:t>。</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四）直接审计下列事项，出具审计报告，在法定职权范围内作出审计决定，包括国家有关重大政策措施贯彻落实情况；市级预算执行情况和其他财政收支，市直各部门(含所属单位)预算执行情况、决算草案和其他财政收支;县区政府预算执行情况、决算草案和其他财政收支，市级财政转移支付资金；使用市级财政资金的事业单位和社会团体的财务收支；市级投资和以市级投资为主的建设项目的预算执行情况和决算，市级重大公共工程项目的资金管理使用和建设运营情况；自然资源管理、污染防治和生态保护与修复情况；市属国有企业和地方金融机构、市政府规定的国有资本占控股或主导地位的企业和金融机构的资产、负债和损益；市政府部门、县区政府管理和受市政府及其部门委托的其他单位管理的社会保障基金、社会捐赠资金和其他有关基金、资金的财务收支；国际组织和外国政府援助、贷款项目；法律法规规定的其他事项。</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（五）按规定对县处级党政主要领导干部及其他单位主要负责人实施经济责任审计和自然资源资产离任审计。</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（六）组织实施对国家财经法律法规、规章、政策和宏观调控措施执行情况、财政预算管理及国有资产管理使用等与国家财政收支有关的特定事项进行专项审计调查。</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（七）依法检查审计决定执行情况，督促整改审计查出的问题，依法办理被审计单位对审计决定提请行政复议、行政诉讼或市政府裁决中的有关事项，协助配合有关部门查处相关重大案件。</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（八）指导和监督内部审计工作，核查社会审计机构对依法属于审计监督对象的单位出具的相关审计报告。</w:t>
      </w:r>
    </w:p>
    <w:p>
      <w:pPr>
        <w:pStyle w:val="4"/>
        <w:adjustRightInd w:val="0"/>
        <w:snapToGrid w:val="0"/>
        <w:spacing w:line="560" w:lineRule="exact"/>
        <w:ind w:firstLine="640" w:firstLineChars="200"/>
        <w:contextualSpacing/>
        <w:rPr>
          <w:rFonts w:ascii="Times New Roman" w:hAnsi="Times New Roman" w:eastAsia="仿宋_GB2312"/>
          <w:sz w:val="32"/>
          <w:szCs w:val="32"/>
        </w:rPr>
      </w:pPr>
      <w:r>
        <w:rPr>
          <w:rFonts w:ascii="Times New Roman" w:hAnsi="Times New Roman" w:eastAsia="仿宋_GB2312"/>
          <w:sz w:val="32"/>
          <w:szCs w:val="32"/>
        </w:rPr>
        <w:t>（九）与县区党委、政府共同领导县区审计机关。依法领导和监督下级审计机关的业务，组织下级审计机关实施特定项目的专项审计或审计调查，纠正或责成纠正下级审计机关违反国家规定作出的审计决定。按照有关规定协管县区审计机关负责人。</w:t>
      </w:r>
    </w:p>
    <w:p>
      <w:pPr>
        <w:adjustRightInd w:val="0"/>
        <w:snapToGrid w:val="0"/>
        <w:spacing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（十）组织开展审计领域的对外交流与合作，指导和推广信息技术在审计领域的应用。</w:t>
      </w:r>
    </w:p>
    <w:p>
      <w:pPr>
        <w:adjustRightInd w:val="0"/>
        <w:snapToGrid w:val="0"/>
        <w:spacing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（十一）完成市委、市政府交办的其他任务。</w:t>
      </w:r>
    </w:p>
    <w:p>
      <w:pPr>
        <w:adjustRightInd w:val="0"/>
        <w:snapToGrid w:val="0"/>
        <w:spacing w:line="560" w:lineRule="exact"/>
        <w:ind w:firstLine="640" w:firstLineChars="200"/>
        <w:contextualSpacing/>
        <w:jc w:val="left"/>
        <w:rPr>
          <w:rFonts w:ascii="Times New Roman" w:hAnsi="Times New Roman" w:eastAsia="仿宋_GB2312"/>
          <w:sz w:val="32"/>
          <w:szCs w:val="32"/>
        </w:rPr>
      </w:pPr>
      <w:r>
        <w:rPr>
          <w:rFonts w:ascii="Times New Roman" w:hAnsi="Times New Roman" w:eastAsia="仿宋_GB2312"/>
          <w:sz w:val="32"/>
          <w:szCs w:val="32"/>
        </w:rPr>
        <w:t>（十二）职能转变。进一步完善审计管理体制，加强全市审计工作统筹，明晰各级审计机关职能定位，优化审计资源配置，构建集中统一、全面覆盖、权威高效的审计监督体系。优化审计工作机制，坚持科技强审，加强与相关部门的沟通协调，充分调动内部审计和社会审计力量，增强监督合力。</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二、部门（单位）预算构成</w:t>
      </w:r>
    </w:p>
    <w:p>
      <w:pPr>
        <w:pStyle w:val="4"/>
        <w:adjustRightInd w:val="0"/>
        <w:snapToGrid w:val="0"/>
        <w:spacing w:line="560" w:lineRule="exact"/>
        <w:ind w:firstLine="627" w:firstLineChars="196"/>
        <w:rPr>
          <w:rFonts w:ascii="Times New Roman" w:hAnsi="Times New Roman" w:eastAsia="仿宋_GB2312" w:cs="TimesNewRoman"/>
          <w:sz w:val="32"/>
          <w:szCs w:val="32"/>
        </w:rPr>
      </w:pPr>
      <w:r>
        <w:rPr>
          <w:rFonts w:hint="eastAsia" w:ascii="Times New Roman" w:hAnsi="Times New Roman" w:eastAsia="仿宋_GB2312" w:cs="TimesNewRoman"/>
          <w:sz w:val="32"/>
          <w:szCs w:val="32"/>
        </w:rPr>
        <w:t>从预算单位构成看，</w:t>
      </w:r>
      <w:r>
        <w:rPr>
          <w:rFonts w:hint="eastAsia" w:ascii="Times New Roman" w:hAnsi="Times New Roman" w:eastAsia="仿宋_GB2312" w:cs="TimesNewRoman"/>
          <w:bCs/>
          <w:sz w:val="32"/>
          <w:szCs w:val="32"/>
        </w:rPr>
        <w:t>淮北市审计局</w:t>
      </w:r>
      <w:r>
        <w:rPr>
          <w:rFonts w:hint="eastAsia" w:ascii="Times New Roman" w:hAnsi="Times New Roman" w:eastAsia="仿宋_GB2312" w:cs="TimesNewRoman"/>
          <w:sz w:val="32"/>
          <w:szCs w:val="32"/>
        </w:rPr>
        <w:t>2024年度部门预算包括局本级预算和局下属单位预算，纳入部门预算编制范围的预算单位共3个，具体情况见下表。</w:t>
      </w:r>
    </w:p>
    <w:tbl>
      <w:tblPr>
        <w:tblStyle w:val="5"/>
        <w:tblW w:w="8540" w:type="dxa"/>
        <w:jc w:val="center"/>
        <w:tblLayout w:type="fixed"/>
        <w:tblCellMar>
          <w:top w:w="0" w:type="dxa"/>
          <w:left w:w="0" w:type="dxa"/>
          <w:bottom w:w="0" w:type="dxa"/>
          <w:right w:w="0" w:type="dxa"/>
        </w:tblCellMar>
      </w:tblPr>
      <w:tblGrid>
        <w:gridCol w:w="854"/>
        <w:gridCol w:w="3416"/>
        <w:gridCol w:w="4270"/>
      </w:tblGrid>
      <w:tr>
        <w:tblPrEx>
          <w:tblCellMar>
            <w:top w:w="0" w:type="dxa"/>
            <w:left w:w="0" w:type="dxa"/>
            <w:bottom w:w="0" w:type="dxa"/>
            <w:right w:w="0" w:type="dxa"/>
          </w:tblCellMar>
        </w:tblPrEx>
        <w:trPr>
          <w:trHeight w:val="579" w:hRule="atLeast"/>
          <w:jc w:val="center"/>
        </w:trPr>
        <w:tc>
          <w:tcPr>
            <w:tcW w:w="85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 New Roman" w:hAnsi="Times New Roman" w:cs="TimesNewRoman"/>
                <w:sz w:val="24"/>
              </w:rPr>
            </w:pPr>
            <w:r>
              <w:rPr>
                <w:rFonts w:ascii="Times New Roman" w:hAnsi="Times New Roman" w:cs="TimesNewRoman"/>
                <w:sz w:val="24"/>
              </w:rPr>
              <w:t>序号</w:t>
            </w:r>
          </w:p>
        </w:tc>
        <w:tc>
          <w:tcPr>
            <w:tcW w:w="3416"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 New Roman" w:hAnsi="Times New Roman" w:cs="TimesNewRoman"/>
                <w:sz w:val="24"/>
              </w:rPr>
            </w:pPr>
            <w:r>
              <w:rPr>
                <w:rFonts w:ascii="Times New Roman" w:hAnsi="Times New Roman" w:cs="TimesNewRoman"/>
                <w:sz w:val="24"/>
              </w:rPr>
              <w:t>单位名称</w:t>
            </w:r>
          </w:p>
        </w:tc>
        <w:tc>
          <w:tcPr>
            <w:tcW w:w="4270" w:type="dxa"/>
            <w:tcBorders>
              <w:top w:val="single" w:color="auto" w:sz="8" w:space="0"/>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 New Roman" w:hAnsi="Times New Roman" w:cs="TimesNewRoman"/>
                <w:sz w:val="24"/>
              </w:rPr>
            </w:pPr>
            <w:r>
              <w:rPr>
                <w:rFonts w:ascii="Times New Roman" w:hAnsi="Times New Roman" w:cs="TimesNewRoman"/>
                <w:sz w:val="24"/>
              </w:rPr>
              <w:t>单位性质</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 New Roman" w:hAnsi="Times New Roman" w:cs="TimesNewRoman"/>
                <w:sz w:val="24"/>
              </w:rPr>
            </w:pPr>
            <w:r>
              <w:rPr>
                <w:rFonts w:ascii="Times New Roman" w:hAnsi="Times New Roman" w:cs="TimesNewRoman"/>
                <w:sz w:val="24"/>
              </w:rPr>
              <w:t>1</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 New Roman" w:hAnsi="Times New Roman" w:cs="TimesNewRoman"/>
                <w:sz w:val="24"/>
                <w:u w:val="single"/>
              </w:rPr>
            </w:pPr>
            <w:r>
              <w:rPr>
                <w:rFonts w:hint="eastAsia" w:ascii="Times New Roman" w:hAnsi="Times New Roman" w:cs="TimesNewRoman"/>
                <w:bCs/>
                <w:sz w:val="24"/>
              </w:rPr>
              <w:t>淮北市审计局</w:t>
            </w:r>
            <w:r>
              <w:rPr>
                <w:rFonts w:ascii="Times New Roman" w:hAnsi="Times New Roman" w:cs="TimesNewRoman"/>
                <w:bCs/>
                <w:sz w:val="24"/>
              </w:rPr>
              <w:t>本级</w:t>
            </w:r>
          </w:p>
        </w:tc>
        <w:tc>
          <w:tcPr>
            <w:tcW w:w="427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 New Roman" w:hAnsi="Times New Roman" w:cs="TimesNewRoman"/>
                <w:sz w:val="24"/>
                <w:u w:val="single"/>
              </w:rPr>
            </w:pPr>
            <w:r>
              <w:rPr>
                <w:rFonts w:ascii="Times New Roman" w:hAnsi="Times New Roman" w:cs="TimesNewRoman"/>
                <w:bCs/>
                <w:sz w:val="24"/>
              </w:rPr>
              <w:t>行政单位</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 New Roman" w:hAnsi="Times New Roman" w:cs="TimesNewRoman"/>
                <w:sz w:val="24"/>
              </w:rPr>
            </w:pPr>
            <w:r>
              <w:rPr>
                <w:rFonts w:ascii="Times New Roman" w:hAnsi="Times New Roman" w:cs="TimesNewRoman"/>
                <w:sz w:val="24"/>
              </w:rPr>
              <w:t>2</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 New Roman" w:hAnsi="Times New Roman" w:cs="TimesNewRoman"/>
                <w:sz w:val="24"/>
                <w:u w:val="single"/>
              </w:rPr>
            </w:pPr>
            <w:r>
              <w:rPr>
                <w:rFonts w:hint="eastAsia" w:ascii="Times New Roman" w:hAnsi="Times New Roman" w:cs="TimesNewRoman"/>
                <w:bCs/>
                <w:sz w:val="24"/>
              </w:rPr>
              <w:t>市计算机审计中心</w:t>
            </w:r>
          </w:p>
        </w:tc>
        <w:tc>
          <w:tcPr>
            <w:tcW w:w="427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 New Roman" w:hAnsi="Times New Roman" w:cs="TimesNewRoman"/>
                <w:sz w:val="24"/>
                <w:u w:val="single"/>
              </w:rPr>
            </w:pPr>
            <w:r>
              <w:rPr>
                <w:rFonts w:ascii="Times New Roman" w:hAnsi="Times New Roman" w:cs="TimesNewRoman"/>
                <w:bCs/>
                <w:sz w:val="24"/>
              </w:rPr>
              <w:t>公益一类事业单位</w:t>
            </w:r>
          </w:p>
        </w:tc>
      </w:tr>
      <w:tr>
        <w:tblPrEx>
          <w:tblCellMar>
            <w:top w:w="0" w:type="dxa"/>
            <w:left w:w="0" w:type="dxa"/>
            <w:bottom w:w="0" w:type="dxa"/>
            <w:right w:w="0" w:type="dxa"/>
          </w:tblCellMar>
        </w:tblPrEx>
        <w:trPr>
          <w:trHeight w:val="579" w:hRule="atLeast"/>
          <w:jc w:val="center"/>
        </w:trPr>
        <w:tc>
          <w:tcPr>
            <w:tcW w:w="854"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jc w:val="center"/>
              <w:rPr>
                <w:rFonts w:ascii="Times New Roman" w:hAnsi="Times New Roman" w:cs="TimesNewRoman"/>
                <w:sz w:val="24"/>
              </w:rPr>
            </w:pPr>
            <w:r>
              <w:rPr>
                <w:rFonts w:ascii="Times New Roman" w:hAnsi="Times New Roman" w:cs="TimesNewRoman"/>
                <w:sz w:val="24"/>
              </w:rPr>
              <w:t>3</w:t>
            </w:r>
          </w:p>
        </w:tc>
        <w:tc>
          <w:tcPr>
            <w:tcW w:w="3416"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adjustRightInd w:val="0"/>
              <w:snapToGrid w:val="0"/>
              <w:spacing w:line="560" w:lineRule="exact"/>
              <w:ind w:firstLine="720" w:firstLineChars="300"/>
              <w:rPr>
                <w:rFonts w:ascii="Times New Roman" w:hAnsi="Times New Roman" w:cs="TimesNewRoman"/>
                <w:sz w:val="24"/>
                <w:u w:val="single"/>
              </w:rPr>
            </w:pPr>
            <w:r>
              <w:rPr>
                <w:rFonts w:hint="eastAsia" w:ascii="Times New Roman" w:hAnsi="Times New Roman" w:cs="TimesNewRoman"/>
                <w:bCs/>
                <w:sz w:val="24"/>
              </w:rPr>
              <w:t>市投资审计中心</w:t>
            </w:r>
          </w:p>
        </w:tc>
        <w:tc>
          <w:tcPr>
            <w:tcW w:w="4270" w:type="dxa"/>
            <w:tcBorders>
              <w:top w:val="nil"/>
              <w:left w:val="nil"/>
              <w:bottom w:val="single" w:color="auto" w:sz="8" w:space="0"/>
              <w:right w:val="single" w:color="auto" w:sz="8" w:space="0"/>
            </w:tcBorders>
            <w:shd w:val="clear" w:color="auto" w:fill="FFFFFF"/>
            <w:vAlign w:val="center"/>
          </w:tcPr>
          <w:p>
            <w:pPr>
              <w:adjustRightInd w:val="0"/>
              <w:snapToGrid w:val="0"/>
              <w:spacing w:line="560" w:lineRule="exact"/>
              <w:jc w:val="center"/>
              <w:rPr>
                <w:rFonts w:ascii="Times New Roman" w:hAnsi="Times New Roman" w:cs="TimesNewRoman"/>
                <w:sz w:val="24"/>
                <w:u w:val="single"/>
              </w:rPr>
            </w:pPr>
            <w:r>
              <w:rPr>
                <w:rFonts w:ascii="Times New Roman" w:hAnsi="Times New Roman" w:cs="TimesNewRoman"/>
                <w:bCs/>
                <w:sz w:val="24"/>
              </w:rPr>
              <w:t>公益一类事业单位</w:t>
            </w:r>
          </w:p>
        </w:tc>
      </w:tr>
    </w:tbl>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三、2024年度主要工作任务</w:t>
      </w:r>
    </w:p>
    <w:p>
      <w:pPr>
        <w:widowControl/>
        <w:spacing w:line="580" w:lineRule="atLeast"/>
        <w:ind w:firstLine="640"/>
        <w:rPr>
          <w:rFonts w:ascii="Times New Roman" w:hAnsi="Times New Roman" w:eastAsia="仿宋_GB2312"/>
          <w:color w:val="000000"/>
          <w:kern w:val="0"/>
          <w:szCs w:val="21"/>
        </w:rPr>
      </w:pPr>
      <w:r>
        <w:rPr>
          <w:rFonts w:ascii="Times New Roman" w:hAnsi="Times New Roman" w:eastAsia="仿宋_GB2312"/>
          <w:color w:val="000000"/>
          <w:kern w:val="0"/>
          <w:sz w:val="32"/>
          <w:szCs w:val="32"/>
        </w:rPr>
        <w:t>市审计局全面贯彻落实全国、全省审计工作会议精神和市委、市政府重点工作任务，依法履行审计监督职责，全力推进公共资金、国有资产、国有资源、领导干部履行经济责任情况的审计全覆盖。</w:t>
      </w:r>
    </w:p>
    <w:p>
      <w:pPr>
        <w:widowControl/>
        <w:spacing w:line="580" w:lineRule="atLeast"/>
        <w:ind w:firstLine="640"/>
        <w:rPr>
          <w:rFonts w:ascii="Times New Roman" w:hAnsi="Times New Roman" w:eastAsia="仿宋_GB2312"/>
          <w:color w:val="000000"/>
          <w:kern w:val="0"/>
          <w:szCs w:val="21"/>
        </w:rPr>
      </w:pPr>
      <w:r>
        <w:rPr>
          <w:rFonts w:hint="eastAsia" w:ascii="Times New Roman" w:hAnsi="Times New Roman" w:eastAsia="仿宋_GB2312"/>
          <w:color w:val="000000"/>
          <w:kern w:val="0"/>
          <w:sz w:val="32"/>
          <w:szCs w:val="32"/>
        </w:rPr>
        <w:t>（一）</w:t>
      </w:r>
      <w:r>
        <w:rPr>
          <w:rFonts w:ascii="Times New Roman" w:hAnsi="Times New Roman" w:eastAsia="仿宋_GB2312"/>
          <w:color w:val="000000"/>
          <w:kern w:val="0"/>
          <w:sz w:val="32"/>
          <w:szCs w:val="32"/>
        </w:rPr>
        <w:t>重大政策措施贯彻落实情况审计。以推动中央和省重大政策贯彻落实，促进经济平稳运行、健康发展和转型升级为目标，</w:t>
      </w:r>
      <w:r>
        <w:rPr>
          <w:rFonts w:hint="eastAsia" w:ascii="Times New Roman" w:hAnsi="Times New Roman" w:eastAsia="仿宋_GB2312"/>
          <w:color w:val="000000"/>
          <w:kern w:val="0"/>
          <w:sz w:val="32"/>
          <w:szCs w:val="32"/>
        </w:rPr>
        <w:t>聚焦深化供给侧结构性改革、防范化解重大风险、支持实体经济发展、保障和改善民生等重点工作，</w:t>
      </w:r>
      <w:r>
        <w:rPr>
          <w:rFonts w:ascii="Times New Roman" w:hAnsi="Times New Roman" w:eastAsia="仿宋_GB2312"/>
          <w:color w:val="000000"/>
          <w:kern w:val="0"/>
          <w:sz w:val="32"/>
          <w:szCs w:val="32"/>
        </w:rPr>
        <w:t>开展重大政策措施贯彻落实情况跟踪审计。根据省审计厅统一安排，按季度组织实施</w:t>
      </w:r>
      <w:r>
        <w:rPr>
          <w:rFonts w:hint="eastAsia" w:ascii="Times New Roman" w:hAnsi="Times New Roman" w:eastAsia="仿宋_GB2312"/>
          <w:color w:val="000000"/>
          <w:kern w:val="0"/>
          <w:sz w:val="32"/>
          <w:szCs w:val="32"/>
        </w:rPr>
        <w:t>审计</w:t>
      </w:r>
      <w:r>
        <w:rPr>
          <w:rFonts w:ascii="Times New Roman" w:hAnsi="Times New Roman" w:eastAsia="仿宋_GB2312"/>
          <w:color w:val="000000"/>
          <w:kern w:val="0"/>
          <w:sz w:val="32"/>
          <w:szCs w:val="32"/>
        </w:rPr>
        <w:t>项目。</w:t>
      </w:r>
    </w:p>
    <w:p>
      <w:pPr>
        <w:widowControl/>
        <w:spacing w:line="580" w:lineRule="atLeast"/>
        <w:ind w:firstLine="640"/>
        <w:rPr>
          <w:rFonts w:ascii="Times New Roman" w:hAnsi="Times New Roman" w:eastAsia="仿宋_GB2312"/>
          <w:color w:val="000000"/>
          <w:kern w:val="0"/>
          <w:szCs w:val="21"/>
        </w:rPr>
      </w:pPr>
      <w:r>
        <w:rPr>
          <w:rFonts w:hint="eastAsia" w:ascii="Times New Roman" w:hAnsi="Times New Roman" w:eastAsia="仿宋_GB2312"/>
          <w:color w:val="000000"/>
          <w:kern w:val="0"/>
          <w:sz w:val="32"/>
          <w:szCs w:val="32"/>
        </w:rPr>
        <w:t>（二）</w:t>
      </w:r>
      <w:r>
        <w:rPr>
          <w:rFonts w:ascii="Times New Roman" w:hAnsi="Times New Roman" w:eastAsia="仿宋_GB2312"/>
          <w:color w:val="000000"/>
          <w:kern w:val="0"/>
          <w:sz w:val="32"/>
          <w:szCs w:val="32"/>
        </w:rPr>
        <w:t>财政审计。以推动财政政策贯彻落实，促进盘活财政存量资金，提高财政资金使用绩效，维护公共资金安全，推进财税体制改革为目标，重点关注预算编制的完整性、科学性及规范性、预算执行进度情况、非税收入的征收管理情况，推动所有政府收支全部纳入预算管理，推进公共财政体系的建立和完善。同时，围绕深化财政绩效理念，密切关注财政资金的存量和增量，促进减少资金沉淀，盘活存量资金，提高财政资金使用绩效。</w:t>
      </w:r>
      <w:r>
        <w:rPr>
          <w:rFonts w:hint="eastAsia" w:ascii="Times New Roman" w:hAnsi="Times New Roman" w:eastAsia="仿宋_GB2312"/>
          <w:color w:val="000000"/>
          <w:kern w:val="0"/>
          <w:sz w:val="32"/>
          <w:szCs w:val="32"/>
        </w:rPr>
        <w:t>2024</w:t>
      </w:r>
      <w:r>
        <w:rPr>
          <w:rFonts w:ascii="Times New Roman" w:hAnsi="Times New Roman" w:eastAsia="仿宋_GB2312"/>
          <w:color w:val="000000"/>
          <w:kern w:val="0"/>
          <w:sz w:val="32"/>
          <w:szCs w:val="32"/>
        </w:rPr>
        <w:t>年计划组织实施市本级</w:t>
      </w:r>
      <w:r>
        <w:rPr>
          <w:rFonts w:hint="eastAsia" w:ascii="Times New Roman" w:hAnsi="Times New Roman" w:eastAsia="仿宋_GB2312"/>
          <w:color w:val="000000"/>
          <w:kern w:val="0"/>
          <w:sz w:val="32"/>
          <w:szCs w:val="32"/>
        </w:rPr>
        <w:t>2023</w:t>
      </w:r>
      <w:r>
        <w:rPr>
          <w:rFonts w:ascii="Times New Roman" w:hAnsi="Times New Roman" w:eastAsia="仿宋_GB2312"/>
          <w:color w:val="000000"/>
          <w:kern w:val="0"/>
          <w:sz w:val="32"/>
          <w:szCs w:val="32"/>
        </w:rPr>
        <w:t>年度预算执行情况审计、部门预算执行情况审计、重点专项资金审计等10余个项目，并注重向二、三级单位延伸，扩大审计覆盖面。</w:t>
      </w:r>
    </w:p>
    <w:p>
      <w:pPr>
        <w:widowControl/>
        <w:spacing w:line="580" w:lineRule="atLeast"/>
        <w:ind w:firstLine="640"/>
        <w:rPr>
          <w:rFonts w:ascii="Times New Roman" w:hAnsi="Times New Roman" w:eastAsia="仿宋_GB2312"/>
          <w:color w:val="000000"/>
          <w:kern w:val="0"/>
          <w:szCs w:val="21"/>
        </w:rPr>
      </w:pPr>
      <w:r>
        <w:rPr>
          <w:rFonts w:hint="eastAsia" w:ascii="Times New Roman" w:hAnsi="Times New Roman" w:eastAsia="仿宋_GB2312"/>
          <w:color w:val="000000"/>
          <w:kern w:val="0"/>
          <w:sz w:val="32"/>
          <w:szCs w:val="32"/>
        </w:rPr>
        <w:t>（三）</w:t>
      </w:r>
      <w:r>
        <w:rPr>
          <w:rFonts w:ascii="Times New Roman" w:hAnsi="Times New Roman" w:eastAsia="仿宋_GB2312"/>
          <w:color w:val="000000"/>
          <w:kern w:val="0"/>
          <w:sz w:val="32"/>
          <w:szCs w:val="32"/>
        </w:rPr>
        <w:t>政府投资建设项目审计。以促进提高公共投资和公共资源管理的经济性、效率性和效果性，推动经济结构和发展方式转变为目标，加强对政府投资项目、政府与社会合作等方式建设的公共工程项目审计，重点关注立项决策审批、征地拆迁、环境保护、工程招投标、物资采购、资金管理使用和工程质量管理等重点环节，关注投资项目规划布局、投向结构、投资效益等情况。</w:t>
      </w:r>
      <w:r>
        <w:rPr>
          <w:rFonts w:hint="eastAsia" w:ascii="Times New Roman" w:hAnsi="Times New Roman" w:eastAsia="仿宋_GB2312"/>
          <w:color w:val="000000"/>
          <w:kern w:val="0"/>
          <w:sz w:val="32"/>
          <w:szCs w:val="32"/>
        </w:rPr>
        <w:t>2024</w:t>
      </w:r>
      <w:r>
        <w:rPr>
          <w:rFonts w:ascii="Times New Roman" w:hAnsi="Times New Roman" w:eastAsia="仿宋_GB2312"/>
          <w:color w:val="000000"/>
          <w:kern w:val="0"/>
          <w:sz w:val="32"/>
          <w:szCs w:val="32"/>
        </w:rPr>
        <w:t>年，</w:t>
      </w:r>
      <w:r>
        <w:rPr>
          <w:rFonts w:hint="eastAsia" w:ascii="Times New Roman" w:hAnsi="Times New Roman" w:eastAsia="仿宋_GB2312"/>
          <w:color w:val="000000"/>
          <w:kern w:val="0"/>
          <w:sz w:val="32"/>
          <w:szCs w:val="32"/>
        </w:rPr>
        <w:t>根据年度</w:t>
      </w:r>
      <w:r>
        <w:rPr>
          <w:rFonts w:ascii="Times New Roman" w:hAnsi="Times New Roman" w:eastAsia="仿宋_GB2312"/>
          <w:color w:val="000000"/>
          <w:kern w:val="0"/>
          <w:sz w:val="32"/>
          <w:szCs w:val="32"/>
        </w:rPr>
        <w:t>计划</w:t>
      </w:r>
      <w:r>
        <w:rPr>
          <w:rFonts w:hint="eastAsia" w:ascii="Times New Roman" w:hAnsi="Times New Roman" w:eastAsia="仿宋_GB2312"/>
          <w:color w:val="000000"/>
          <w:kern w:val="0"/>
          <w:sz w:val="32"/>
          <w:szCs w:val="32"/>
        </w:rPr>
        <w:t>安排</w:t>
      </w:r>
      <w:r>
        <w:rPr>
          <w:rFonts w:ascii="Times New Roman" w:hAnsi="Times New Roman" w:eastAsia="仿宋_GB2312"/>
          <w:color w:val="000000"/>
          <w:kern w:val="0"/>
          <w:sz w:val="32"/>
          <w:szCs w:val="32"/>
        </w:rPr>
        <w:t>组织</w:t>
      </w:r>
      <w:r>
        <w:rPr>
          <w:rFonts w:hint="eastAsia" w:ascii="Times New Roman" w:hAnsi="Times New Roman" w:eastAsia="仿宋_GB2312"/>
          <w:color w:val="000000"/>
          <w:kern w:val="0"/>
          <w:sz w:val="32"/>
          <w:szCs w:val="32"/>
        </w:rPr>
        <w:t>政府投资审计</w:t>
      </w:r>
      <w:r>
        <w:rPr>
          <w:rFonts w:ascii="Times New Roman" w:hAnsi="Times New Roman" w:eastAsia="仿宋_GB2312"/>
          <w:color w:val="000000"/>
          <w:kern w:val="0"/>
          <w:sz w:val="32"/>
          <w:szCs w:val="32"/>
        </w:rPr>
        <w:t>。</w:t>
      </w:r>
    </w:p>
    <w:p>
      <w:pPr>
        <w:widowControl/>
        <w:spacing w:line="580" w:lineRule="atLeast"/>
        <w:ind w:firstLine="640"/>
        <w:rPr>
          <w:rFonts w:ascii="Times New Roman" w:hAnsi="Times New Roman" w:eastAsia="仿宋_GB2312"/>
          <w:color w:val="000000"/>
          <w:kern w:val="0"/>
          <w:szCs w:val="21"/>
        </w:rPr>
      </w:pPr>
      <w:r>
        <w:rPr>
          <w:rFonts w:hint="eastAsia" w:ascii="Times New Roman" w:hAnsi="Times New Roman" w:eastAsia="仿宋_GB2312"/>
          <w:color w:val="000000"/>
          <w:kern w:val="0"/>
          <w:sz w:val="32"/>
          <w:szCs w:val="32"/>
        </w:rPr>
        <w:t>（四）</w:t>
      </w:r>
      <w:r>
        <w:rPr>
          <w:rFonts w:ascii="Times New Roman" w:hAnsi="Times New Roman" w:eastAsia="仿宋_GB2312"/>
          <w:color w:val="000000"/>
          <w:kern w:val="0"/>
          <w:sz w:val="32"/>
          <w:szCs w:val="32"/>
        </w:rPr>
        <w:t>经济责任审计。以促进领导干部推动本地区、本部门科学发展和守法守纪守规尽责为目标，重点关注贯彻执行党和国家经济方针政策及决策部署情况、重大经济事项的决策执行情况、财政财务管理和经济风险防范情况、生态文明建设项目和资金管理使用情况，遵守廉洁从政规定情况等。</w:t>
      </w:r>
      <w:r>
        <w:rPr>
          <w:rFonts w:hint="eastAsia" w:ascii="Times New Roman" w:hAnsi="Times New Roman" w:eastAsia="仿宋_GB2312"/>
          <w:color w:val="000000"/>
          <w:kern w:val="0"/>
          <w:sz w:val="32"/>
          <w:szCs w:val="32"/>
        </w:rPr>
        <w:t>2024</w:t>
      </w:r>
      <w:r>
        <w:rPr>
          <w:rFonts w:ascii="Times New Roman" w:hAnsi="Times New Roman" w:eastAsia="仿宋_GB2312"/>
          <w:color w:val="000000"/>
          <w:kern w:val="0"/>
          <w:sz w:val="32"/>
          <w:szCs w:val="32"/>
        </w:rPr>
        <w:t>年拟安排经济责任审计</w:t>
      </w:r>
      <w:r>
        <w:rPr>
          <w:rFonts w:hint="eastAsia" w:ascii="Times New Roman" w:hAnsi="Times New Roman" w:eastAsia="仿宋_GB2312"/>
          <w:color w:val="000000"/>
          <w:kern w:val="0"/>
          <w:sz w:val="32"/>
          <w:szCs w:val="32"/>
        </w:rPr>
        <w:t>20余</w:t>
      </w:r>
      <w:r>
        <w:rPr>
          <w:rFonts w:ascii="Times New Roman" w:hAnsi="Times New Roman" w:eastAsia="仿宋_GB2312"/>
          <w:color w:val="000000"/>
          <w:kern w:val="0"/>
          <w:sz w:val="32"/>
          <w:szCs w:val="32"/>
        </w:rPr>
        <w:t>个。</w:t>
      </w:r>
    </w:p>
    <w:p>
      <w:pPr>
        <w:rPr>
          <w:rFonts w:ascii="Times New Roman" w:hAnsi="Times New Roman"/>
        </w:rPr>
      </w:pPr>
      <w:r>
        <w:rPr>
          <w:rFonts w:hint="eastAsia" w:ascii="Times New Roman" w:hAnsi="Times New Roman" w:eastAsia="仿宋_GB2312"/>
          <w:color w:val="000000"/>
          <w:kern w:val="0"/>
          <w:sz w:val="32"/>
          <w:szCs w:val="32"/>
        </w:rPr>
        <w:t>（五）专项</w:t>
      </w:r>
      <w:r>
        <w:rPr>
          <w:rFonts w:ascii="Times New Roman" w:hAnsi="Times New Roman" w:eastAsia="仿宋_GB2312"/>
          <w:color w:val="000000"/>
          <w:kern w:val="0"/>
          <w:sz w:val="32"/>
          <w:szCs w:val="32"/>
        </w:rPr>
        <w:t>资金审计。以提高资金使用绩效，切实保障人民群众根本利益为目标，不断加强</w:t>
      </w:r>
      <w:r>
        <w:rPr>
          <w:rFonts w:hint="eastAsia" w:ascii="Times New Roman" w:hAnsi="Times New Roman" w:eastAsia="仿宋_GB2312"/>
          <w:color w:val="000000"/>
          <w:kern w:val="0"/>
          <w:sz w:val="32"/>
          <w:szCs w:val="32"/>
        </w:rPr>
        <w:t>专项资金</w:t>
      </w:r>
      <w:r>
        <w:rPr>
          <w:rFonts w:ascii="Times New Roman" w:hAnsi="Times New Roman" w:eastAsia="仿宋_GB2312"/>
          <w:color w:val="000000"/>
          <w:kern w:val="0"/>
          <w:sz w:val="32"/>
          <w:szCs w:val="32"/>
        </w:rPr>
        <w:t>审计，尤其把养老保险、城乡低保、扶贫、教育、就业、保障性住房等作为审计的重点，瞄准分配、拨付、使用等关键环节，主动跟进审计，及时发现问题。关注各项惠民政策是否落到实处，确保党和政府对人民群众的关心、保障落到实处，服务共享发展。</w:t>
      </w:r>
      <w:r>
        <w:rPr>
          <w:rFonts w:hint="eastAsia" w:ascii="Times New Roman" w:hAnsi="Times New Roman" w:eastAsia="仿宋_GB2312"/>
          <w:color w:val="000000"/>
          <w:kern w:val="0"/>
          <w:sz w:val="32"/>
          <w:szCs w:val="32"/>
        </w:rPr>
        <w:t>2024</w:t>
      </w:r>
      <w:r>
        <w:rPr>
          <w:rFonts w:ascii="Times New Roman" w:hAnsi="Times New Roman" w:eastAsia="仿宋_GB2312"/>
          <w:color w:val="000000"/>
          <w:kern w:val="0"/>
          <w:sz w:val="32"/>
          <w:szCs w:val="32"/>
        </w:rPr>
        <w:t>年计划组织实施</w:t>
      </w:r>
      <w:r>
        <w:rPr>
          <w:rFonts w:hint="eastAsia" w:ascii="Times New Roman" w:hAnsi="Times New Roman" w:eastAsia="仿宋_GB2312"/>
          <w:color w:val="000000"/>
          <w:kern w:val="0"/>
          <w:sz w:val="32"/>
          <w:szCs w:val="32"/>
        </w:rPr>
        <w:t>1</w:t>
      </w:r>
      <w:r>
        <w:rPr>
          <w:rFonts w:ascii="Times New Roman" w:hAnsi="Times New Roman" w:eastAsia="仿宋_GB2312"/>
          <w:color w:val="000000"/>
          <w:kern w:val="0"/>
          <w:sz w:val="32"/>
          <w:szCs w:val="32"/>
        </w:rPr>
        <w:t>0余项重点民生资金审计调查。</w:t>
      </w:r>
    </w:p>
    <w:p>
      <w:pPr>
        <w:pStyle w:val="4"/>
        <w:adjustRightInd w:val="0"/>
        <w:snapToGrid w:val="0"/>
        <w:spacing w:line="560" w:lineRule="exact"/>
        <w:jc w:val="center"/>
        <w:rPr>
          <w:rFonts w:ascii="Times New Roman" w:hAnsi="Times New Roman" w:eastAsia="黑体" w:cs="TimesNewRoman"/>
          <w:bCs/>
          <w:sz w:val="36"/>
          <w:szCs w:val="36"/>
        </w:rPr>
      </w:pPr>
      <w:r>
        <w:rPr>
          <w:rFonts w:hint="eastAsia" w:ascii="Times New Roman" w:hAnsi="Times New Roman" w:eastAsia="黑体" w:cs="TimesNewRoman"/>
          <w:bCs/>
          <w:sz w:val="36"/>
          <w:szCs w:val="36"/>
        </w:rPr>
        <w:t>第二部分 2024年部门（单位）预算表</w:t>
      </w:r>
    </w:p>
    <w:p>
      <w:pPr>
        <w:pStyle w:val="4"/>
        <w:adjustRightInd w:val="0"/>
        <w:snapToGrid w:val="0"/>
        <w:spacing w:line="560" w:lineRule="exact"/>
        <w:ind w:firstLine="627" w:firstLineChars="196"/>
        <w:jc w:val="center"/>
        <w:rPr>
          <w:rFonts w:ascii="Times New Roman" w:hAnsi="Times New Roman" w:eastAsia="仿宋_GB2312" w:cs="TimesNewRoman"/>
          <w:bCs/>
          <w:sz w:val="32"/>
          <w:szCs w:val="32"/>
        </w:rPr>
      </w:pPr>
      <w:r>
        <w:rPr>
          <w:rFonts w:hint="eastAsia" w:ascii="Times New Roman" w:hAnsi="Times New Roman" w:eastAsia="仿宋_GB2312" w:cs="TimesNewRoman"/>
          <w:bCs/>
          <w:sz w:val="32"/>
          <w:szCs w:val="32"/>
        </w:rPr>
        <w:t>见附件1-2</w:t>
      </w:r>
    </w:p>
    <w:p>
      <w:pPr>
        <w:rPr>
          <w:rFonts w:ascii="Times New Roman" w:hAnsi="Times New Roman"/>
        </w:rPr>
      </w:pPr>
      <w:r>
        <w:rPr>
          <w:rFonts w:ascii="Times New Roman" w:hAnsi="Times New Roman"/>
        </w:rPr>
        <w:t xml:space="preserve">                                        </w:t>
      </w:r>
    </w:p>
    <w:p>
      <w:pPr>
        <w:pStyle w:val="4"/>
        <w:adjustRightInd w:val="0"/>
        <w:snapToGrid w:val="0"/>
        <w:spacing w:line="560" w:lineRule="exact"/>
        <w:jc w:val="center"/>
        <w:rPr>
          <w:rFonts w:ascii="Times New Roman" w:hAnsi="Times New Roman" w:eastAsia="黑体" w:cs="TimesNewRoman"/>
          <w:bCs/>
          <w:sz w:val="36"/>
          <w:szCs w:val="36"/>
        </w:rPr>
      </w:pPr>
      <w:r>
        <w:rPr>
          <w:rFonts w:hint="eastAsia" w:ascii="Times New Roman" w:hAnsi="Times New Roman" w:eastAsia="黑体" w:cs="TimesNewRoman"/>
          <w:bCs/>
          <w:sz w:val="36"/>
          <w:szCs w:val="36"/>
        </w:rPr>
        <w:t>第三部分 2024年部门（单位）预算情况说明</w:t>
      </w:r>
    </w:p>
    <w:p>
      <w:pPr>
        <w:rPr>
          <w:rFonts w:ascii="Times New Roman" w:hAnsi="Times New Roman"/>
        </w:rPr>
      </w:pP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一、关于2024年收支总表的说明</w:t>
      </w:r>
    </w:p>
    <w:p>
      <w:pPr>
        <w:pStyle w:val="4"/>
        <w:adjustRightInd w:val="0"/>
        <w:snapToGrid w:val="0"/>
        <w:spacing w:line="560" w:lineRule="exact"/>
        <w:ind w:firstLine="627" w:firstLineChars="196"/>
        <w:rPr>
          <w:rFonts w:ascii="Times New Roman" w:hAnsi="Times New Roman" w:eastAsia="仿宋_GB2312" w:cs="TimesNewRoman"/>
          <w:sz w:val="32"/>
          <w:szCs w:val="32"/>
        </w:rPr>
      </w:pPr>
      <w:r>
        <w:rPr>
          <w:rFonts w:hint="eastAsia" w:ascii="Times New Roman" w:hAnsi="Times New Roman" w:eastAsia="仿宋_GB2312" w:cs="TimesNewRoman"/>
          <w:sz w:val="32"/>
          <w:szCs w:val="32"/>
        </w:rPr>
        <w:t>按照综合预算的原则，淮北市审计局所有收入和支出均纳入部门预算管理。淮北市审计局2024年收支总预算2488.03万元，收入全部是一般公共预算拨款收入，支出包括：一般公共服务支出、社会保障和就业支出、卫生健康支出、住房保障支出。</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二、关于2024年收入总表的说明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淮北市审计局2024年收入预算2488.03万元，其中，本年收入2488.03万元。</w:t>
      </w:r>
    </w:p>
    <w:p>
      <w:pPr>
        <w:ind w:firstLine="643" w:firstLineChars="200"/>
        <w:rPr>
          <w:rFonts w:ascii="Times New Roman" w:hAnsi="Times New Roman" w:eastAsia="仿宋_GB2312" w:cs="TimesNewRoman"/>
          <w:kern w:val="0"/>
          <w:sz w:val="32"/>
          <w:szCs w:val="32"/>
        </w:rPr>
      </w:pPr>
      <w:r>
        <w:rPr>
          <w:rFonts w:hint="eastAsia" w:ascii="Times New Roman" w:hAnsi="Times New Roman" w:eastAsia="仿宋_GB2312" w:cs="TimesNewRoman"/>
          <w:b/>
          <w:kern w:val="0"/>
          <w:sz w:val="32"/>
          <w:szCs w:val="32"/>
        </w:rPr>
        <w:t>（一）本年收入2488.03万元，</w:t>
      </w:r>
      <w:r>
        <w:rPr>
          <w:rFonts w:hint="eastAsia" w:ascii="Times New Roman" w:hAnsi="Times New Roman" w:eastAsia="仿宋_GB2312" w:cs="TimesNewRoman"/>
          <w:kern w:val="0"/>
          <w:sz w:val="32"/>
          <w:szCs w:val="32"/>
        </w:rPr>
        <w:t>主要包括：一般公共预算拨款收入2488.03万元，占100%，比2023年预算减少145.63万元，下降5.53%，原因主要是退休人员增加，项目支出减少，节约开支。</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三、关于2024年支出总表的说明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支出预算2488.03万元，比2023年预算减少145.63万元，下降5.53%，原因主要是退休人员增加，项目支出减少，节约开支。其中，基本支出1238.03万元，占49.76%，主要用于保障机构日常运转、完成日常工作任务；项目支出1250万元，占50.24%，主要用于审计项目支出及</w:t>
      </w:r>
      <w:r>
        <w:rPr>
          <w:rFonts w:hint="eastAsia" w:ascii="Times New Roman" w:hAnsi="Times New Roman" w:eastAsia="仿宋_GB2312"/>
          <w:sz w:val="32"/>
          <w:szCs w:val="32"/>
        </w:rPr>
        <w:t>政府投资审计委托业务费</w:t>
      </w:r>
      <w:r>
        <w:rPr>
          <w:rFonts w:hint="eastAsia" w:ascii="Times New Roman" w:hAnsi="Times New Roman" w:eastAsia="仿宋_GB2312" w:cs="TimesNewRoman"/>
          <w:kern w:val="0"/>
          <w:sz w:val="32"/>
          <w:szCs w:val="32"/>
        </w:rPr>
        <w:t>。</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四、关于2024年财政拨款收支总表的说明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财政拨款收支预算2488.03万元。收入按资金来源分为：一般公共预算拨款2488.03万元、政府性基金预算拨款0万元；按资金年度分为：本年财政拨款收入2488.03万元。支出按功能分类分为：一般公共服务支出2128.08万元，占85.54%；社会保障和就业支出285.2万元，占11.46%；卫生健康支出49.29万元，占1.98%；住房保障支出25.46万元，占1.02%。</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五、关于2024年一般公共预算支出表的说明</w:t>
      </w:r>
    </w:p>
    <w:p>
      <w:pPr>
        <w:pStyle w:val="4"/>
        <w:adjustRightInd w:val="0"/>
        <w:snapToGrid w:val="0"/>
        <w:spacing w:line="560" w:lineRule="exact"/>
        <w:ind w:firstLine="630" w:firstLineChars="196"/>
        <w:rPr>
          <w:rFonts w:ascii="Times New Roman" w:hAnsi="Times New Roman" w:eastAsia="楷体_GB2312" w:cs="TimesNewRoman"/>
          <w:b/>
          <w:sz w:val="32"/>
          <w:szCs w:val="32"/>
        </w:rPr>
      </w:pPr>
      <w:r>
        <w:rPr>
          <w:rFonts w:hint="eastAsia" w:ascii="Times New Roman" w:hAnsi="Times New Roman" w:eastAsia="楷体_GB2312" w:cs="TimesNewRoman"/>
          <w:b/>
          <w:sz w:val="32"/>
          <w:szCs w:val="32"/>
        </w:rPr>
        <w:t>（一）一般公共预算支出规模变化情况。</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淮北市审计局2024年一般公共预算支出2488.35万元，比2023年预算减少145.63万元，下降5.53%，原因主要是退休人员增加，项目支出减少，节约开支。</w:t>
      </w:r>
    </w:p>
    <w:p>
      <w:pPr>
        <w:ind w:firstLine="643" w:firstLineChars="200"/>
        <w:rPr>
          <w:rFonts w:ascii="Times New Roman" w:hAnsi="Times New Roman" w:eastAsia="楷体_GB2312" w:cs="TimesNewRoman"/>
          <w:b/>
          <w:sz w:val="32"/>
          <w:szCs w:val="32"/>
        </w:rPr>
      </w:pPr>
      <w:r>
        <w:rPr>
          <w:rFonts w:hint="eastAsia" w:ascii="Times New Roman" w:hAnsi="Times New Roman" w:eastAsia="楷体_GB2312" w:cs="TimesNewRoman"/>
          <w:b/>
          <w:sz w:val="32"/>
          <w:szCs w:val="32"/>
        </w:rPr>
        <w:t>（二）一般公共预算支出结构情况。</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一般公共服务支出2128.08万元，占85.54%；社会保障和就业支出285.2万元，占11.46%；卫生健康支出49.29万元，占1.98%；住房保障支出25.46万元，占1.02%。</w:t>
      </w:r>
    </w:p>
    <w:p>
      <w:pPr>
        <w:pStyle w:val="4"/>
        <w:adjustRightInd w:val="0"/>
        <w:snapToGrid w:val="0"/>
        <w:spacing w:line="560" w:lineRule="exact"/>
        <w:ind w:firstLine="630" w:firstLineChars="196"/>
        <w:rPr>
          <w:rFonts w:ascii="Times New Roman" w:hAnsi="Times New Roman" w:eastAsia="楷体_GB2312" w:cs="TimesNewRoman"/>
          <w:b/>
          <w:sz w:val="32"/>
          <w:szCs w:val="32"/>
        </w:rPr>
      </w:pPr>
      <w:r>
        <w:rPr>
          <w:rFonts w:hint="eastAsia" w:ascii="Times New Roman" w:hAnsi="Times New Roman" w:eastAsia="楷体_GB2312" w:cs="TimesNewRoman"/>
          <w:b/>
          <w:sz w:val="32"/>
          <w:szCs w:val="32"/>
        </w:rPr>
        <w:t>（三）一般公共预算支出具体使用情况。</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1、一般公共服务支出（类）审计事务（款）行政运行（项）2024年预算720.29万元，比2023年预算减少77.37万元，下降9.7%，原因主要是退休人员增加，节约开支。</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2、一般公共服务支出（类）审计事务（款）一般行政管理事务（项）2024年预算350万元，与2023年预算一致。</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3、一般公共服务支出（类）审计事务（款）审计业务（项）2024年预算900万元，比2023年预算减少100万元，下降10%，原因主要是</w:t>
      </w:r>
      <w:r>
        <w:rPr>
          <w:rFonts w:hint="eastAsia" w:ascii="Times New Roman" w:hAnsi="Times New Roman" w:eastAsia="仿宋_GB2312"/>
          <w:sz w:val="32"/>
          <w:szCs w:val="32"/>
        </w:rPr>
        <w:t>政府投资审计委托业务费减少</w:t>
      </w:r>
      <w:r>
        <w:rPr>
          <w:rFonts w:hint="eastAsia" w:ascii="Times New Roman" w:hAnsi="Times New Roman" w:eastAsia="仿宋_GB2312" w:cs="TimesNewRoman"/>
          <w:kern w:val="0"/>
          <w:sz w:val="32"/>
          <w:szCs w:val="32"/>
        </w:rPr>
        <w:t>。</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4、一般公共服务支出（类）审计事务（款）事业运行（项）2024年预算157.79万元，比2023年预算增加5.03万元，增长3.29%，原因主要是</w:t>
      </w:r>
      <w:r>
        <w:rPr>
          <w:rFonts w:hint="eastAsia" w:ascii="Times New Roman" w:hAnsi="Times New Roman" w:eastAsia="仿宋_GB2312"/>
          <w:sz w:val="32"/>
          <w:szCs w:val="32"/>
        </w:rPr>
        <w:t>公积金及社保基数调整</w:t>
      </w:r>
      <w:r>
        <w:rPr>
          <w:rFonts w:hint="eastAsia" w:ascii="Times New Roman" w:hAnsi="Times New Roman" w:eastAsia="仿宋_GB2312" w:cs="TimesNewRoman"/>
          <w:kern w:val="0"/>
          <w:sz w:val="32"/>
          <w:szCs w:val="32"/>
        </w:rPr>
        <w:t>。</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5、社会保障和就业支出（类）行政事业单位养老支出（款）行政单位离退休（项）2024年预算139.99万元，比2023年预算增加7.04万元，增长5.03%，原因主要是退休人员增加。</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6、社会保障和就业支出（类）行政事业单位养老支出（款）机关事业单位基本养老保险缴费支出（项）2024年预算95.89万元，比2023年预算减少2.86万元，下降2.9%，原因主要是基数调整。</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7、社会保障和就业支出（类）行政事业单位养老支出（款）机关事业单位职业年金缴费支出（项）2024年预算47.94万元，比2023年预算减少1.44万元，下降2.92%，原因主要是基数调整。</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8.社会保障和就业支出（类）其他社会保障和就业支出（款）其他社会保障和就业支出（项）2024年预算1.38万元，比2023年预算减少0.03万元，下降2.13%，原因主要是基数调整。</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9.卫生健康支出（类）行政事业单位医疗（款）行政单位医疗（项）2024年预算36.32万元，比2023年预算减少1.08万元，下降2.89%，原因主要是基数调整。</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10.卫生健康支出（类）行政事业单位医疗（款）公务员医疗补助（项）2024年预算12.97万元，比2023年预算减少0.39万元，下降2.92%，原因主要是基数调整。</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11、住房保障支出（类）住房改革支出（款）提租补贴（项）2024年预算25.46万元，比2023年预算增加25.46万元，增长100%，原因主要是2023年未纳入预算。</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六、关于2024年一般公共预算基本支出表的说明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淮北市审计局2024年一般公共预算基本支出1238.03万元，其中，人员经费1125.33万元，公用经费112.7万元。</w:t>
      </w:r>
    </w:p>
    <w:p>
      <w:pPr>
        <w:ind w:firstLine="643" w:firstLineChars="200"/>
        <w:rPr>
          <w:rFonts w:ascii="Times New Roman" w:hAnsi="Times New Roman" w:eastAsia="仿宋_GB2312" w:cs="TimesNewRoman"/>
          <w:kern w:val="0"/>
          <w:sz w:val="32"/>
          <w:szCs w:val="32"/>
        </w:rPr>
      </w:pPr>
      <w:r>
        <w:rPr>
          <w:rFonts w:hint="eastAsia" w:ascii="Times New Roman" w:hAnsi="Times New Roman" w:eastAsia="仿宋_GB2312" w:cs="TimesNewRoman"/>
          <w:b/>
          <w:kern w:val="0"/>
          <w:sz w:val="32"/>
          <w:szCs w:val="32"/>
        </w:rPr>
        <w:t>（一）人员经费1125.33万元，</w:t>
      </w:r>
      <w:r>
        <w:rPr>
          <w:rFonts w:hint="eastAsia" w:ascii="Times New Roman" w:hAnsi="Times New Roman" w:eastAsia="仿宋_GB2312" w:cs="TimesNewRoman"/>
          <w:kern w:val="0"/>
          <w:sz w:val="32"/>
          <w:szCs w:val="32"/>
        </w:rPr>
        <w:t>主要包括:基本工资、津贴补贴、奖金、伙食补助费、绩效工资、机关事业单位基本养老保险费、职业年金缴费、职工基本医疗保险缴费、公务员医疗补助缴费、其他社会保障缴费、工会经费、福利费、住房公积金、医疗费、其他工资福利支出、生活补助、对其他个人和家庭的补助支出。</w:t>
      </w:r>
    </w:p>
    <w:p>
      <w:pPr>
        <w:ind w:firstLine="643" w:firstLineChars="200"/>
        <w:rPr>
          <w:rFonts w:ascii="Times New Roman" w:hAnsi="Times New Roman" w:eastAsia="仿宋_GB2312" w:cs="TimesNewRoman"/>
          <w:kern w:val="0"/>
          <w:sz w:val="32"/>
          <w:szCs w:val="32"/>
        </w:rPr>
      </w:pPr>
      <w:r>
        <w:rPr>
          <w:rFonts w:hint="eastAsia" w:ascii="Times New Roman" w:hAnsi="Times New Roman" w:eastAsia="仿宋_GB2312" w:cs="TimesNewRoman"/>
          <w:b/>
          <w:kern w:val="0"/>
          <w:sz w:val="32"/>
          <w:szCs w:val="32"/>
        </w:rPr>
        <w:t>（二）公用经费112.7万元，</w:t>
      </w:r>
      <w:r>
        <w:rPr>
          <w:rFonts w:hint="eastAsia" w:ascii="Times New Roman" w:hAnsi="Times New Roman" w:eastAsia="仿宋_GB2312" w:cs="TimesNewRoman"/>
          <w:kern w:val="0"/>
          <w:sz w:val="32"/>
          <w:szCs w:val="32"/>
        </w:rPr>
        <w:t>主要包括：办公费、印刷费、水费、电费、邮电费、取暖费、物业管理费、差旅费、维修（护）费、培训费、公务接待费、劳务费、公务用车运行维护费、其他交通费用、其他商品服务支出。</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七、关于2024年政府性基金预算支出表的说明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淮北市审计局2024年没有政府性基金预算拨款收入，也没有使用政府性基金预算拨款安排的支出。</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八、关于2024年国有资本经营预算支出表的说明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淮北市审计局2024年没有国有资本经营预算拨款收入，也没有使用国有资本经营预算拨款安排的支出。</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九、关于2024年项目支出表的说明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预算共安排项目支出1250万元，比2023年预算减少100万元，下降7.41%，原因主要是委托业务费减少。主要包括：本年财政拨款安排1250万元（其中，一般公共预算拨款安排1250万元，政府性基金预算拨款安排0万元），财政专户管理资金安排0万元。</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十、关于2024年政府采购支出表的说明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预算安排政府采购支出5.58万元，比2023年预算减少21.31万元，下降79.25%，原因主要是减少计算机采购。其中，一般公共预算安排5.58万元，占100%；政府性基金预算安排0万元，占0%；财政专户管理资金安排0万元，占0%。</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十一、关于2024年政府购买服务支出表的说明</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淮北市审计局2024年预算安排政府购买服务支出950万元，与2023年预算一致。</w:t>
      </w:r>
    </w:p>
    <w:p>
      <w:pPr>
        <w:pStyle w:val="4"/>
        <w:adjustRightInd w:val="0"/>
        <w:snapToGrid w:val="0"/>
        <w:spacing w:line="560" w:lineRule="exact"/>
        <w:ind w:firstLine="627" w:firstLineChars="196"/>
        <w:rPr>
          <w:rFonts w:ascii="Times New Roman" w:hAnsi="Times New Roman" w:eastAsia="黑体" w:cs="TimesNewRoman"/>
          <w:bCs/>
          <w:sz w:val="32"/>
          <w:szCs w:val="32"/>
        </w:rPr>
      </w:pPr>
      <w:r>
        <w:rPr>
          <w:rFonts w:hint="eastAsia" w:ascii="Times New Roman" w:hAnsi="Times New Roman" w:eastAsia="黑体" w:cs="TimesNewRoman"/>
          <w:bCs/>
          <w:sz w:val="32"/>
          <w:szCs w:val="32"/>
        </w:rPr>
        <w:t>十二、其他重要事项情况说明</w:t>
      </w:r>
    </w:p>
    <w:p>
      <w:pPr>
        <w:adjustRightInd w:val="0"/>
        <w:snapToGrid w:val="0"/>
        <w:spacing w:line="58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（一）项目及绩效目标情况。</w:t>
      </w:r>
    </w:p>
    <w:p>
      <w:pPr>
        <w:adjustRightInd w:val="0"/>
        <w:snapToGrid w:val="0"/>
        <w:spacing w:line="600" w:lineRule="exact"/>
        <w:ind w:firstLine="643" w:firstLineChars="200"/>
        <w:rPr>
          <w:rFonts w:ascii="Times New Roman" w:hAnsi="Times New Roman" w:eastAsia="仿宋_GB2312"/>
          <w:b/>
          <w:sz w:val="32"/>
          <w:szCs w:val="32"/>
        </w:rPr>
      </w:pPr>
      <w:r>
        <w:rPr>
          <w:rFonts w:hint="eastAsia" w:ascii="Times New Roman" w:hAnsi="Times New Roman" w:eastAsia="仿宋_GB2312"/>
          <w:b/>
          <w:sz w:val="32"/>
          <w:szCs w:val="32"/>
        </w:rPr>
        <w:t>1.“投资跟踪审计经费”项目。</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（1）项目概述：</w:t>
      </w:r>
      <w:r>
        <w:rPr>
          <w:rFonts w:hint="eastAsia" w:ascii="Times New Roman" w:hAnsi="Times New Roman" w:eastAsia="仿宋_GB2312"/>
          <w:sz w:val="32"/>
          <w:szCs w:val="32"/>
        </w:rPr>
        <w:t>根据《淮北市人民政府关于加强政府投资建设项目审计监督若干实施意见》（淮政〔2010〕21号）、《淮北市人民政府关于进一步加强政府投资建设项目审计监督的实施意见》（淮政〔2018〕42号）精神，对投资额5000万元以上、关系民生、建设周期较长、社会关注度较高的政府投资的重大公共工程项目开展跟踪审计，对起审金额以下的投资审计项目进行抽查制度。</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（2）立项依据：</w:t>
      </w:r>
      <w:r>
        <w:rPr>
          <w:rFonts w:hint="eastAsia" w:ascii="Times New Roman" w:hAnsi="Times New Roman" w:eastAsia="仿宋_GB2312"/>
          <w:sz w:val="32"/>
          <w:szCs w:val="32"/>
        </w:rPr>
        <w:t>《淮北市人民政府关于加强政府投资建设项目审计监督若干实施意见》（淮政〔2010〕21号）；《淮北市人民政府关于进一步加强政府投资建设项目审计监督的实施意见》（淮政〔2018〕42号）</w:t>
      </w:r>
    </w:p>
    <w:p>
      <w:pPr>
        <w:ind w:firstLine="640" w:firstLineChars="200"/>
        <w:rPr>
          <w:rFonts w:ascii="Times New Roman" w:hAnsi="Times New Roman" w:eastAsia="仿宋_GB2312"/>
          <w:sz w:val="32"/>
          <w:szCs w:val="32"/>
          <w:u w:val="single"/>
        </w:rPr>
      </w:pPr>
      <w:r>
        <w:rPr>
          <w:rFonts w:hint="eastAsia" w:ascii="Times New Roman" w:hAnsi="Times New Roman" w:eastAsia="仿宋_GB2312"/>
          <w:sz w:val="32"/>
          <w:szCs w:val="32"/>
        </w:rPr>
        <w:t>（3）实施主体：淮北市审计局</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（4）起止时间：2024年1月—12月</w:t>
      </w:r>
    </w:p>
    <w:p>
      <w:pPr>
        <w:spacing w:line="600" w:lineRule="exact"/>
        <w:ind w:firstLine="642"/>
        <w:rPr>
          <w:rFonts w:ascii="Times New Roman" w:hAnsi="Times New Roman" w:eastAsia="仿宋_GB2312"/>
          <w:sz w:val="32"/>
          <w:szCs w:val="32"/>
        </w:rPr>
      </w:pPr>
      <w:r>
        <w:rPr>
          <w:rFonts w:hint="eastAsia" w:ascii="Times New Roman" w:hAnsi="Times New Roman" w:eastAsia="仿宋_GB2312"/>
          <w:sz w:val="32"/>
          <w:szCs w:val="32"/>
        </w:rPr>
        <w:t>（5）项目内容：</w:t>
      </w:r>
      <w:r>
        <w:rPr>
          <w:rFonts w:hint="eastAsia" w:ascii="Times New Roman" w:hAnsi="Times New Roman" w:eastAsia="仿宋_GB2312"/>
          <w:sz w:val="32"/>
          <w:szCs w:val="32"/>
        </w:rPr>
        <w:t>根据《淮北市人民政府关于加强政府投资建设项目审计监督若干实施意见》（淮政〔2010〕21号）、《淮北市人民政府关于进一步加强政府投资建设项目审计监督的实施意见》（淮政〔2018〕42号）精神，对投资额5000万元以上、关系民生、建设周期较长、社会关注度较高的政府投资的重大公共工程项目开展跟踪审计，对起审金额以下的投资审计项目进行抽查制度。</w:t>
      </w:r>
    </w:p>
    <w:p>
      <w:pPr>
        <w:spacing w:line="600" w:lineRule="exact"/>
        <w:ind w:firstLine="642"/>
        <w:rPr>
          <w:rFonts w:ascii="Times New Roman" w:hAnsi="Times New Roman" w:eastAsia="仿宋_GB2312"/>
          <w:sz w:val="32"/>
          <w:szCs w:val="32"/>
        </w:rPr>
      </w:pPr>
      <w:r>
        <w:rPr>
          <w:rFonts w:hint="eastAsia" w:ascii="Times New Roman" w:hAnsi="Times New Roman" w:eastAsia="仿宋_GB2312"/>
          <w:sz w:val="32"/>
          <w:szCs w:val="32"/>
        </w:rPr>
        <w:t>（6）年度预算安排：900万元</w:t>
      </w:r>
    </w:p>
    <w:p>
      <w:pPr>
        <w:adjustRightInd w:val="0"/>
        <w:snapToGrid w:val="0"/>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Times New Roman" w:hAnsi="Times New Roman" w:cs="宋体"/>
                <w:b/>
                <w:bCs/>
                <w:szCs w:val="32"/>
              </w:rPr>
            </w:pPr>
            <w:r>
              <w:rPr>
                <w:rFonts w:hint="eastAsia" w:ascii="Times New Roman" w:hAnsi="Times New Roman"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项目名称</w:t>
            </w:r>
          </w:p>
        </w:tc>
        <w:tc>
          <w:tcPr>
            <w:tcW w:w="7577" w:type="dxa"/>
            <w:gridSpan w:val="4"/>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投资跟踪审计经费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淮北市审计局</w:t>
            </w:r>
          </w:p>
        </w:tc>
        <w:tc>
          <w:tcPr>
            <w:tcW w:w="1848"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eastAsia="宋体" w:cs="宋体"/>
                <w:color w:val="000000"/>
                <w:kern w:val="0"/>
                <w:sz w:val="20"/>
                <w:szCs w:val="20"/>
              </w:rPr>
              <w:t>实施单位</w:t>
            </w:r>
          </w:p>
        </w:tc>
        <w:tc>
          <w:tcPr>
            <w:tcW w:w="2380" w:type="dxa"/>
            <w:tcBorders>
              <w:tl2br w:val="nil"/>
              <w:tr2bl w:val="nil"/>
            </w:tcBorders>
            <w:vAlign w:val="center"/>
          </w:tcPr>
          <w:p>
            <w:pPr>
              <w:jc w:val="center"/>
              <w:rPr>
                <w:rFonts w:ascii="Times New Roman" w:hAnsi="Times New Roman"/>
              </w:rPr>
            </w:pPr>
            <w:r>
              <w:rPr>
                <w:rFonts w:hint="eastAsia" w:ascii="Times New Roman" w:hAnsi="Times New Roman"/>
              </w:rPr>
              <w:t>淮北市审计局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项目来源</w:t>
            </w:r>
          </w:p>
        </w:tc>
        <w:tc>
          <w:tcPr>
            <w:tcW w:w="3349" w:type="dxa"/>
            <w:gridSpan w:val="2"/>
            <w:tcBorders>
              <w:tl2br w:val="nil"/>
              <w:tr2bl w:val="nil"/>
            </w:tcBorders>
            <w:vAlign w:val="center"/>
          </w:tcPr>
          <w:p>
            <w:pPr>
              <w:jc w:val="center"/>
              <w:rPr>
                <w:rFonts w:ascii="Times New Roman" w:hAnsi="Times New Roman" w:cs="宋体"/>
                <w:sz w:val="20"/>
              </w:rPr>
            </w:pPr>
          </w:p>
        </w:tc>
        <w:tc>
          <w:tcPr>
            <w:tcW w:w="1848"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eastAsia="宋体" w:cs="宋体"/>
                <w:color w:val="000000"/>
                <w:kern w:val="0"/>
                <w:sz w:val="20"/>
                <w:szCs w:val="20"/>
              </w:rPr>
              <w:t>项目期</w:t>
            </w:r>
          </w:p>
        </w:tc>
        <w:tc>
          <w:tcPr>
            <w:tcW w:w="2380" w:type="dxa"/>
            <w:tcBorders>
              <w:tl2br w:val="nil"/>
              <w:tr2bl w:val="nil"/>
            </w:tcBorders>
            <w:vAlign w:val="center"/>
          </w:tcPr>
          <w:p>
            <w:pPr>
              <w:jc w:val="center"/>
              <w:rPr>
                <w:rFonts w:ascii="Times New Roman" w:hAnsi="Times New Roman"/>
              </w:rPr>
            </w:pPr>
            <w:r>
              <w:rPr>
                <w:rFonts w:hint="eastAsia" w:ascii="Times New Roman" w:hAnsi="Times New Roman"/>
              </w:rPr>
              <w:t>2024年1月-12月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项目资金</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Times New Roman" w:hAnsi="Times New Roman"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Times New Roman" w:hAnsi="Times New Roman"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年度</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目标</w:t>
            </w:r>
          </w:p>
        </w:tc>
        <w:tc>
          <w:tcPr>
            <w:tcW w:w="8582" w:type="dxa"/>
            <w:gridSpan w:val="6"/>
            <w:tcBorders>
              <w:tl2br w:val="nil"/>
              <w:tr2bl w:val="nil"/>
            </w:tcBorders>
            <w:vAlign w:val="center"/>
          </w:tcPr>
          <w:p>
            <w:pPr>
              <w:rPr>
                <w:rFonts w:ascii="Times New Roman" w:hAnsi="Times New Roman"/>
                <w:sz w:val="20"/>
                <w:szCs w:val="20"/>
              </w:rPr>
            </w:pPr>
            <w:r>
              <w:rPr>
                <w:rFonts w:hint="eastAsia" w:ascii="Times New Roman" w:hAnsi="Times New Roman"/>
                <w:sz w:val="20"/>
                <w:szCs w:val="20"/>
              </w:rPr>
              <w:t xml:space="preserve">目标1：完成年度审计项目计划 </w:t>
            </w:r>
          </w:p>
          <w:p>
            <w:pPr>
              <w:rPr>
                <w:rFonts w:ascii="Times New Roman" w:hAnsi="Times New Roman"/>
                <w:sz w:val="20"/>
                <w:szCs w:val="20"/>
              </w:rPr>
            </w:pPr>
            <w:r>
              <w:rPr>
                <w:rFonts w:hint="eastAsia" w:ascii="Times New Roman" w:hAnsi="Times New Roman"/>
                <w:sz w:val="20"/>
                <w:szCs w:val="20"/>
              </w:rPr>
              <w:t>目标2：节约财政资金</w:t>
            </w:r>
          </w:p>
          <w:p>
            <w:pPr>
              <w:jc w:val="left"/>
              <w:rPr>
                <w:rFonts w:ascii="Times New Roman" w:hAnsi="Times New Roman" w:cs="宋体"/>
                <w:sz w:val="20"/>
              </w:rPr>
            </w:pPr>
            <w:r>
              <w:rPr>
                <w:rFonts w:hint="eastAsia" w:ascii="Times New Roman" w:hAnsi="Times New Roman"/>
                <w:sz w:val="20"/>
                <w:szCs w:val="20"/>
              </w:rPr>
              <w:t>目标3：提高公共资金使用绩效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绩</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效</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指</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一级</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指标1：年度审计项目</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指标1：审计报告优秀率</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指标1：审计项目完成时效</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指标1：完成本年度项目所需费用</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900万元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指标1：节约财政资金影响程度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w:t>
            </w:r>
            <w:r>
              <w:rPr>
                <w:rFonts w:hint="eastAsia" w:ascii="Times New Roman" w:hAnsi="Times New Roman"/>
                <w:sz w:val="20"/>
                <w:szCs w:val="20"/>
              </w:rPr>
              <w:t>对加强领导干部</w:t>
            </w:r>
            <w:r>
              <w:rPr>
                <w:rFonts w:hint="eastAsia" w:ascii="Times New Roman" w:hAnsi="Times New Roman"/>
                <w:sz w:val="20"/>
                <w:szCs w:val="20"/>
                <w:lang w:eastAsia="zh-CN"/>
              </w:rPr>
              <w:t>行使</w:t>
            </w:r>
            <w:r>
              <w:rPr>
                <w:rFonts w:hint="eastAsia" w:ascii="Times New Roman" w:hAnsi="Times New Roman"/>
                <w:sz w:val="20"/>
                <w:szCs w:val="20"/>
              </w:rPr>
              <w:t>权力的制约影响程度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指标1：对优化生态环境影响程度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可持续影响指标</w:t>
            </w:r>
          </w:p>
        </w:tc>
        <w:tc>
          <w:tcPr>
            <w:tcW w:w="2872" w:type="dxa"/>
            <w:tcBorders>
              <w:tl2br w:val="nil"/>
              <w:tr2bl w:val="nil"/>
            </w:tcBorders>
            <w:vAlign w:val="center"/>
          </w:tcPr>
          <w:p>
            <w:pPr>
              <w:widowControl/>
              <w:jc w:val="left"/>
              <w:textAlignment w:val="center"/>
              <w:rPr>
                <w:rFonts w:ascii="Times New Roman" w:hAnsi="Times New Roman" w:eastAsia="宋体" w:cs="宋体"/>
                <w:sz w:val="20"/>
              </w:rPr>
            </w:pPr>
            <w:r>
              <w:rPr>
                <w:rFonts w:hint="eastAsia" w:ascii="Times New Roman" w:hAnsi="Times New Roman" w:eastAsia="宋体" w:cs="宋体"/>
                <w:color w:val="000000"/>
                <w:kern w:val="0"/>
                <w:sz w:val="20"/>
                <w:szCs w:val="20"/>
              </w:rPr>
              <w:t>指标1：</w:t>
            </w:r>
            <w:r>
              <w:rPr>
                <w:rFonts w:hint="eastAsia" w:ascii="Times New Roman" w:hAnsi="Times New Roman"/>
                <w:sz w:val="20"/>
                <w:szCs w:val="20"/>
              </w:rPr>
              <w:t>对贯彻落实中央政策措施以及推动反腐倡廉、打击经济犯罪和维护经济秩序的影响程度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满意度指标</w:t>
            </w:r>
          </w:p>
        </w:tc>
        <w:tc>
          <w:tcPr>
            <w:tcW w:w="2872" w:type="dxa"/>
            <w:tcBorders>
              <w:tl2br w:val="nil"/>
              <w:tr2bl w:val="nil"/>
            </w:tcBorders>
            <w:vAlign w:val="center"/>
          </w:tcPr>
          <w:p>
            <w:pPr>
              <w:widowControl/>
              <w:jc w:val="left"/>
              <w:textAlignment w:val="center"/>
              <w:rPr>
                <w:rFonts w:ascii="Times New Roman" w:hAnsi="Times New Roman" w:eastAsia="宋体" w:cs="宋体"/>
                <w:sz w:val="20"/>
              </w:rPr>
            </w:pPr>
            <w:r>
              <w:rPr>
                <w:rFonts w:hint="eastAsia" w:ascii="Times New Roman" w:hAnsi="Times New Roman" w:eastAsia="宋体" w:cs="宋体"/>
                <w:color w:val="000000"/>
                <w:kern w:val="0"/>
                <w:sz w:val="20"/>
                <w:szCs w:val="20"/>
              </w:rPr>
              <w:t>指标1：审计工作投诉次数</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0</w:t>
            </w:r>
          </w:p>
        </w:tc>
      </w:tr>
    </w:tbl>
    <w:p>
      <w:pPr>
        <w:ind w:firstLine="420" w:firstLineChars="200"/>
        <w:rPr>
          <w:rFonts w:ascii="Times New Roman" w:hAnsi="Times New Roman"/>
        </w:rPr>
      </w:pPr>
    </w:p>
    <w:p>
      <w:pPr>
        <w:ind w:firstLine="420" w:firstLineChars="200"/>
        <w:rPr>
          <w:rFonts w:ascii="Times New Roman" w:hAnsi="Times New Roman"/>
        </w:rPr>
      </w:pP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2、“审计事业费”项目。</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（1）项目概述：</w:t>
      </w:r>
      <w:r>
        <w:rPr>
          <w:rFonts w:hint="eastAsia" w:ascii="Times New Roman" w:hAnsi="Times New Roman" w:eastAsia="仿宋_GB2312" w:cs="Times New Roman"/>
          <w:sz w:val="32"/>
          <w:szCs w:val="32"/>
        </w:rPr>
        <w:t>根据《中华人民共和国审计法》依法开展各项审计工作。根据历年审计工作安排情况，预计2024年计划安排审计项目约50个（不含政府投资建设审计项目）。确保审计项目的正常实施。</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（2）立项依据：</w:t>
      </w:r>
      <w:r>
        <w:rPr>
          <w:rFonts w:hint="eastAsia" w:ascii="Times New Roman" w:hAnsi="Times New Roman" w:eastAsia="仿宋_GB2312" w:cs="Times New Roman"/>
          <w:sz w:val="32"/>
          <w:szCs w:val="32"/>
        </w:rPr>
        <w:t>《中华人民共和国审计法》</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（3）实施主体：淮北市审计局</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（4）起止时间：2024年1月-12月</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（5）项目内容：</w:t>
      </w:r>
      <w:r>
        <w:rPr>
          <w:rFonts w:hint="eastAsia" w:ascii="Times New Roman" w:hAnsi="Times New Roman" w:eastAsia="仿宋_GB2312" w:cs="Times New Roman"/>
          <w:sz w:val="32"/>
          <w:szCs w:val="32"/>
        </w:rPr>
        <w:t>根据《中华人民共和国审计法》依法开展各项审计工作。根据历年审计工作安排情况，预计2024年计划安排审计项目约50个（不含政府投资建设审计项目）。确保审计项目的正常实施。</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（6）年度预算安排：313万元</w:t>
      </w:r>
    </w:p>
    <w:p>
      <w:pPr>
        <w:ind w:firstLine="640" w:firstLineChars="200"/>
        <w:rPr>
          <w:rFonts w:hint="eastAsia"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Times New Roman" w:hAnsi="Times New Roman" w:cs="宋体"/>
                <w:b/>
                <w:bCs/>
                <w:szCs w:val="32"/>
              </w:rPr>
            </w:pPr>
            <w:r>
              <w:rPr>
                <w:rFonts w:hint="eastAsia" w:ascii="Times New Roman" w:hAnsi="Times New Roman"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项目名称</w:t>
            </w:r>
          </w:p>
        </w:tc>
        <w:tc>
          <w:tcPr>
            <w:tcW w:w="7577" w:type="dxa"/>
            <w:gridSpan w:val="4"/>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审计事业费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淮北市审计局</w:t>
            </w:r>
          </w:p>
        </w:tc>
        <w:tc>
          <w:tcPr>
            <w:tcW w:w="1848"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eastAsia="宋体" w:cs="宋体"/>
                <w:color w:val="000000"/>
                <w:kern w:val="0"/>
                <w:sz w:val="20"/>
                <w:szCs w:val="20"/>
              </w:rPr>
              <w:t>实施单位</w:t>
            </w:r>
          </w:p>
        </w:tc>
        <w:tc>
          <w:tcPr>
            <w:tcW w:w="2380" w:type="dxa"/>
            <w:tcBorders>
              <w:tl2br w:val="nil"/>
              <w:tr2bl w:val="nil"/>
            </w:tcBorders>
            <w:vAlign w:val="center"/>
          </w:tcPr>
          <w:p>
            <w:pPr>
              <w:jc w:val="center"/>
              <w:rPr>
                <w:rFonts w:ascii="Times New Roman" w:hAnsi="Times New Roman"/>
              </w:rPr>
            </w:pPr>
            <w:r>
              <w:rPr>
                <w:rFonts w:hint="eastAsia" w:ascii="Times New Roman" w:hAnsi="Times New Roman"/>
              </w:rPr>
              <w:t>淮北市审计局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项目来源</w:t>
            </w:r>
          </w:p>
        </w:tc>
        <w:tc>
          <w:tcPr>
            <w:tcW w:w="3349" w:type="dxa"/>
            <w:gridSpan w:val="2"/>
            <w:tcBorders>
              <w:tl2br w:val="nil"/>
              <w:tr2bl w:val="nil"/>
            </w:tcBorders>
            <w:vAlign w:val="center"/>
          </w:tcPr>
          <w:p>
            <w:pPr>
              <w:jc w:val="center"/>
              <w:rPr>
                <w:rFonts w:ascii="Times New Roman" w:hAnsi="Times New Roman" w:cs="宋体"/>
                <w:sz w:val="20"/>
              </w:rPr>
            </w:pPr>
          </w:p>
        </w:tc>
        <w:tc>
          <w:tcPr>
            <w:tcW w:w="1848"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eastAsia="宋体" w:cs="宋体"/>
                <w:color w:val="000000"/>
                <w:kern w:val="0"/>
                <w:sz w:val="20"/>
                <w:szCs w:val="20"/>
              </w:rPr>
              <w:t>项目期</w:t>
            </w:r>
          </w:p>
        </w:tc>
        <w:tc>
          <w:tcPr>
            <w:tcW w:w="2380" w:type="dxa"/>
            <w:tcBorders>
              <w:tl2br w:val="nil"/>
              <w:tr2bl w:val="nil"/>
            </w:tcBorders>
            <w:vAlign w:val="center"/>
          </w:tcPr>
          <w:p>
            <w:pPr>
              <w:jc w:val="center"/>
              <w:rPr>
                <w:rFonts w:ascii="Times New Roman" w:hAnsi="Times New Roman"/>
              </w:rPr>
            </w:pPr>
            <w:r>
              <w:rPr>
                <w:rFonts w:hint="eastAsia" w:ascii="Times New Roman" w:hAnsi="Times New Roman"/>
              </w:rPr>
              <w:t>2024年1月-12月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项目资金</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Times New Roman" w:hAnsi="Times New Roman"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Times New Roman" w:hAnsi="Times New Roman"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年度</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目标</w:t>
            </w:r>
          </w:p>
        </w:tc>
        <w:tc>
          <w:tcPr>
            <w:tcW w:w="8582" w:type="dxa"/>
            <w:gridSpan w:val="6"/>
            <w:tcBorders>
              <w:tl2br w:val="nil"/>
              <w:tr2bl w:val="nil"/>
            </w:tcBorders>
            <w:vAlign w:val="center"/>
          </w:tcPr>
          <w:p>
            <w:pPr>
              <w:rPr>
                <w:rFonts w:ascii="Times New Roman" w:hAnsi="Times New Roman"/>
                <w:sz w:val="20"/>
                <w:szCs w:val="20"/>
              </w:rPr>
            </w:pPr>
            <w:r>
              <w:rPr>
                <w:rFonts w:hint="eastAsia" w:ascii="Times New Roman" w:hAnsi="Times New Roman"/>
                <w:sz w:val="20"/>
                <w:szCs w:val="20"/>
              </w:rPr>
              <w:t xml:space="preserve">目标1：完成年度审计项目计划 </w:t>
            </w:r>
          </w:p>
          <w:p>
            <w:pPr>
              <w:rPr>
                <w:rFonts w:ascii="Times New Roman" w:hAnsi="Times New Roman"/>
                <w:sz w:val="20"/>
                <w:szCs w:val="20"/>
              </w:rPr>
            </w:pPr>
            <w:r>
              <w:rPr>
                <w:rFonts w:hint="eastAsia" w:ascii="Times New Roman" w:hAnsi="Times New Roman"/>
                <w:sz w:val="20"/>
                <w:szCs w:val="20"/>
              </w:rPr>
              <w:t>目标2：节约财政资金</w:t>
            </w:r>
          </w:p>
          <w:p>
            <w:pPr>
              <w:jc w:val="left"/>
              <w:rPr>
                <w:rFonts w:ascii="Times New Roman" w:hAnsi="Times New Roman" w:cs="宋体"/>
                <w:sz w:val="20"/>
              </w:rPr>
            </w:pPr>
            <w:r>
              <w:rPr>
                <w:rFonts w:hint="eastAsia" w:ascii="Times New Roman" w:hAnsi="Times New Roman"/>
                <w:sz w:val="20"/>
                <w:szCs w:val="20"/>
              </w:rPr>
              <w:t>目标3：提高公共资金使用绩效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绩</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效</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指</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一级</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指标1：年度审计项目</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指标1：审计报告优秀率</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指标1：审计项目完成时效</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指标1：完成本年度项目所需费用</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313万元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指标1：审计查出问题建议数</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w:t>
            </w:r>
            <w:r>
              <w:rPr>
                <w:rFonts w:hint="eastAsia" w:ascii="Times New Roman" w:hAnsi="Times New Roman"/>
                <w:sz w:val="20"/>
                <w:szCs w:val="20"/>
              </w:rPr>
              <w:t>对加强领导干部</w:t>
            </w:r>
            <w:r>
              <w:rPr>
                <w:rFonts w:hint="eastAsia" w:ascii="Times New Roman" w:hAnsi="Times New Roman"/>
                <w:sz w:val="20"/>
                <w:szCs w:val="20"/>
                <w:lang w:eastAsia="zh-CN"/>
              </w:rPr>
              <w:t>行使</w:t>
            </w:r>
            <w:r>
              <w:rPr>
                <w:rFonts w:hint="eastAsia" w:ascii="Times New Roman" w:hAnsi="Times New Roman"/>
                <w:sz w:val="20"/>
                <w:szCs w:val="20"/>
              </w:rPr>
              <w:t>权力的制约影响程度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指标1：对优化生态环境影响程度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可持续影响指标</w:t>
            </w:r>
          </w:p>
        </w:tc>
        <w:tc>
          <w:tcPr>
            <w:tcW w:w="2872" w:type="dxa"/>
            <w:tcBorders>
              <w:tl2br w:val="nil"/>
              <w:tr2bl w:val="nil"/>
            </w:tcBorders>
            <w:vAlign w:val="center"/>
          </w:tcPr>
          <w:p>
            <w:pPr>
              <w:widowControl/>
              <w:jc w:val="left"/>
              <w:textAlignment w:val="center"/>
              <w:rPr>
                <w:rFonts w:ascii="Times New Roman" w:hAnsi="Times New Roman" w:eastAsia="宋体" w:cs="宋体"/>
                <w:sz w:val="20"/>
              </w:rPr>
            </w:pPr>
            <w:r>
              <w:rPr>
                <w:rFonts w:hint="eastAsia" w:ascii="Times New Roman" w:hAnsi="Times New Roman" w:eastAsia="宋体" w:cs="宋体"/>
                <w:color w:val="000000"/>
                <w:kern w:val="0"/>
                <w:sz w:val="20"/>
                <w:szCs w:val="20"/>
              </w:rPr>
              <w:t>指标1：</w:t>
            </w:r>
            <w:r>
              <w:rPr>
                <w:rFonts w:hint="eastAsia" w:ascii="Times New Roman" w:hAnsi="Times New Roman"/>
                <w:sz w:val="20"/>
                <w:szCs w:val="20"/>
              </w:rPr>
              <w:t>对贯彻落实中央政策措施以及推动反腐倡廉、打击经济犯罪和维护经济秩序的影响程度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满意度指标</w:t>
            </w:r>
          </w:p>
        </w:tc>
        <w:tc>
          <w:tcPr>
            <w:tcW w:w="2872" w:type="dxa"/>
            <w:tcBorders>
              <w:tl2br w:val="nil"/>
              <w:tr2bl w:val="nil"/>
            </w:tcBorders>
            <w:vAlign w:val="center"/>
          </w:tcPr>
          <w:p>
            <w:pPr>
              <w:widowControl/>
              <w:jc w:val="left"/>
              <w:textAlignment w:val="center"/>
              <w:rPr>
                <w:rFonts w:ascii="Times New Roman" w:hAnsi="Times New Roman" w:eastAsia="宋体" w:cs="宋体"/>
                <w:sz w:val="20"/>
              </w:rPr>
            </w:pPr>
            <w:r>
              <w:rPr>
                <w:rFonts w:hint="eastAsia" w:ascii="Times New Roman" w:hAnsi="Times New Roman" w:eastAsia="宋体" w:cs="宋体"/>
                <w:color w:val="000000"/>
                <w:kern w:val="0"/>
                <w:sz w:val="20"/>
                <w:szCs w:val="20"/>
              </w:rPr>
              <w:t>指标1：审计工作投诉次数</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0</w:t>
            </w:r>
          </w:p>
        </w:tc>
      </w:tr>
    </w:tbl>
    <w:p>
      <w:pPr>
        <w:ind w:firstLine="640" w:firstLineChars="200"/>
        <w:rPr>
          <w:rFonts w:hint="eastAsia" w:ascii="Times New Roman" w:hAnsi="Times New Roman" w:eastAsia="仿宋_GB2312" w:cs="TimesNewRoman"/>
          <w:kern w:val="0"/>
          <w:sz w:val="32"/>
          <w:szCs w:val="32"/>
        </w:rPr>
      </w:pP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3、“大楼运行及维护费”项目。</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NewRoman"/>
          <w:kern w:val="0"/>
          <w:sz w:val="32"/>
          <w:szCs w:val="32"/>
        </w:rPr>
        <w:t>（1）项目概述：</w:t>
      </w:r>
      <w:r>
        <w:rPr>
          <w:rFonts w:hint="eastAsia" w:ascii="Times New Roman" w:hAnsi="Times New Roman" w:eastAsia="仿宋_GB2312" w:cs="Times New Roman"/>
          <w:sz w:val="32"/>
          <w:szCs w:val="32"/>
        </w:rPr>
        <w:t>此项目主要安排审计大楼运行发生的物业管理费及发生的维修费用，保障审计办公大楼内各种设施正常运转，为审计工作提供后勤保障。</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（2）立项依据：</w:t>
      </w:r>
      <w:r>
        <w:rPr>
          <w:rFonts w:hint="eastAsia" w:ascii="Times New Roman" w:hAnsi="Times New Roman" w:eastAsia="仿宋_GB2312" w:cs="Times New Roman"/>
          <w:sz w:val="32"/>
          <w:szCs w:val="32"/>
        </w:rPr>
        <w:t>《中华人民共和国审计法》</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（3）实施主体：淮北市审计局</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（4）起止时间：2024年1月-12月</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NewRoman"/>
          <w:kern w:val="0"/>
          <w:sz w:val="32"/>
          <w:szCs w:val="32"/>
        </w:rPr>
        <w:t>（5）项目内容：</w:t>
      </w:r>
      <w:r>
        <w:rPr>
          <w:rFonts w:hint="eastAsia" w:ascii="Times New Roman" w:hAnsi="Times New Roman" w:eastAsia="仿宋_GB2312" w:cs="Times New Roman"/>
          <w:sz w:val="32"/>
          <w:szCs w:val="32"/>
        </w:rPr>
        <w:t>此项目主要安排审计大楼运行发生的物业管理费及发生的维修费用，保障审计办公大楼内各种设施正常运转，为审计工作提供后勤保障。</w:t>
      </w:r>
    </w:p>
    <w:p>
      <w:pPr>
        <w:ind w:firstLine="640" w:firstLineChars="200"/>
        <w:rPr>
          <w:rFonts w:ascii="Times New Roman" w:hAnsi="Times New Roman" w:eastAsia="仿宋_GB2312" w:cs="TimesNewRoman"/>
          <w:kern w:val="0"/>
          <w:sz w:val="32"/>
          <w:szCs w:val="32"/>
        </w:rPr>
      </w:pP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（6）年度预算安排：33.7万元</w:t>
      </w:r>
    </w:p>
    <w:p>
      <w:pPr>
        <w:ind w:firstLine="640" w:firstLineChars="200"/>
        <w:rPr>
          <w:rFonts w:hint="eastAsia"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Times New Roman" w:hAnsi="Times New Roman" w:cs="宋体"/>
                <w:b/>
                <w:bCs/>
                <w:szCs w:val="32"/>
              </w:rPr>
            </w:pPr>
            <w:r>
              <w:rPr>
                <w:rFonts w:hint="eastAsia" w:ascii="Times New Roman" w:hAnsi="Times New Roman"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项目名称</w:t>
            </w:r>
          </w:p>
        </w:tc>
        <w:tc>
          <w:tcPr>
            <w:tcW w:w="7577" w:type="dxa"/>
            <w:gridSpan w:val="4"/>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审计事业费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淮北市审计局</w:t>
            </w:r>
          </w:p>
        </w:tc>
        <w:tc>
          <w:tcPr>
            <w:tcW w:w="1848"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eastAsia="宋体" w:cs="宋体"/>
                <w:color w:val="000000"/>
                <w:kern w:val="0"/>
                <w:sz w:val="20"/>
                <w:szCs w:val="20"/>
              </w:rPr>
              <w:t>实施单位</w:t>
            </w:r>
          </w:p>
        </w:tc>
        <w:tc>
          <w:tcPr>
            <w:tcW w:w="2380" w:type="dxa"/>
            <w:tcBorders>
              <w:tl2br w:val="nil"/>
              <w:tr2bl w:val="nil"/>
            </w:tcBorders>
            <w:vAlign w:val="center"/>
          </w:tcPr>
          <w:p>
            <w:pPr>
              <w:jc w:val="center"/>
              <w:rPr>
                <w:rFonts w:ascii="Times New Roman" w:hAnsi="Times New Roman"/>
              </w:rPr>
            </w:pPr>
            <w:r>
              <w:rPr>
                <w:rFonts w:hint="eastAsia" w:ascii="Times New Roman" w:hAnsi="Times New Roman"/>
              </w:rPr>
              <w:t>淮北市审计局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项目来源</w:t>
            </w:r>
          </w:p>
        </w:tc>
        <w:tc>
          <w:tcPr>
            <w:tcW w:w="3349" w:type="dxa"/>
            <w:gridSpan w:val="2"/>
            <w:tcBorders>
              <w:tl2br w:val="nil"/>
              <w:tr2bl w:val="nil"/>
            </w:tcBorders>
            <w:vAlign w:val="center"/>
          </w:tcPr>
          <w:p>
            <w:pPr>
              <w:jc w:val="center"/>
              <w:rPr>
                <w:rFonts w:ascii="Times New Roman" w:hAnsi="Times New Roman" w:cs="宋体"/>
                <w:sz w:val="20"/>
              </w:rPr>
            </w:pPr>
          </w:p>
        </w:tc>
        <w:tc>
          <w:tcPr>
            <w:tcW w:w="1848"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eastAsia="宋体" w:cs="宋体"/>
                <w:color w:val="000000"/>
                <w:kern w:val="0"/>
                <w:sz w:val="20"/>
                <w:szCs w:val="20"/>
              </w:rPr>
              <w:t>项目期</w:t>
            </w:r>
          </w:p>
        </w:tc>
        <w:tc>
          <w:tcPr>
            <w:tcW w:w="2380" w:type="dxa"/>
            <w:tcBorders>
              <w:tl2br w:val="nil"/>
              <w:tr2bl w:val="nil"/>
            </w:tcBorders>
            <w:vAlign w:val="center"/>
          </w:tcPr>
          <w:p>
            <w:pPr>
              <w:jc w:val="center"/>
              <w:rPr>
                <w:rFonts w:ascii="Times New Roman" w:hAnsi="Times New Roman"/>
              </w:rPr>
            </w:pPr>
            <w:r>
              <w:rPr>
                <w:rFonts w:hint="eastAsia" w:ascii="Times New Roman" w:hAnsi="Times New Roman"/>
              </w:rPr>
              <w:t>2024年1月-12月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项目资金</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Times New Roman" w:hAnsi="Times New Roman"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Times New Roman" w:hAnsi="Times New Roman"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年度</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目标</w:t>
            </w:r>
          </w:p>
        </w:tc>
        <w:tc>
          <w:tcPr>
            <w:tcW w:w="8582" w:type="dxa"/>
            <w:gridSpan w:val="6"/>
            <w:tcBorders>
              <w:tl2br w:val="nil"/>
              <w:tr2bl w:val="nil"/>
            </w:tcBorders>
            <w:vAlign w:val="center"/>
          </w:tcPr>
          <w:p>
            <w:pPr>
              <w:rPr>
                <w:rFonts w:ascii="Times New Roman" w:hAnsi="Times New Roman"/>
                <w:sz w:val="20"/>
                <w:szCs w:val="20"/>
              </w:rPr>
            </w:pPr>
            <w:r>
              <w:rPr>
                <w:rFonts w:hint="eastAsia" w:ascii="Times New Roman" w:hAnsi="Times New Roman"/>
                <w:sz w:val="20"/>
                <w:szCs w:val="20"/>
              </w:rPr>
              <w:t xml:space="preserve">目标1：保障审计大楼内各种设施正常运转 </w:t>
            </w:r>
          </w:p>
          <w:p>
            <w:pPr>
              <w:rPr>
                <w:rFonts w:ascii="Times New Roman" w:hAnsi="Times New Roman"/>
                <w:sz w:val="20"/>
                <w:szCs w:val="20"/>
              </w:rPr>
            </w:pPr>
            <w:r>
              <w:rPr>
                <w:rFonts w:hint="eastAsia" w:ascii="Times New Roman" w:hAnsi="Times New Roman"/>
                <w:sz w:val="20"/>
                <w:szCs w:val="20"/>
              </w:rPr>
              <w:t>目标2：节约财政资金</w:t>
            </w:r>
          </w:p>
          <w:p>
            <w:pPr>
              <w:jc w:val="left"/>
              <w:rPr>
                <w:rFonts w:ascii="Times New Roman" w:hAnsi="Times New Roman" w:cs="宋体"/>
                <w:sz w:val="20"/>
              </w:rPr>
            </w:pPr>
            <w:r>
              <w:rPr>
                <w:rFonts w:hint="eastAsia" w:ascii="Times New Roman" w:hAnsi="Times New Roman"/>
                <w:sz w:val="20"/>
                <w:szCs w:val="20"/>
              </w:rPr>
              <w:t>目标3：提高公共资金使用绩效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绩</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效</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指</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一级</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指标1：完成修理养护的设施数量</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指标1：修理养护质量合格率</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指标1：审计项目完成时效</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指标1：完成本年度项目所需费用</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33.7万元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指标1：节约财政资金影响程度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w:t>
            </w:r>
            <w:r>
              <w:rPr>
                <w:rFonts w:hint="eastAsia" w:ascii="Times New Roman" w:hAnsi="Times New Roman"/>
                <w:sz w:val="20"/>
                <w:szCs w:val="20"/>
              </w:rPr>
              <w:t>降低故障发生率</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指标1：对节约利用、生态环保影响程度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可持续影响指标</w:t>
            </w:r>
          </w:p>
        </w:tc>
        <w:tc>
          <w:tcPr>
            <w:tcW w:w="2872" w:type="dxa"/>
            <w:tcBorders>
              <w:tl2br w:val="nil"/>
              <w:tr2bl w:val="nil"/>
            </w:tcBorders>
            <w:vAlign w:val="center"/>
          </w:tcPr>
          <w:p>
            <w:pPr>
              <w:widowControl/>
              <w:jc w:val="left"/>
              <w:textAlignment w:val="center"/>
              <w:rPr>
                <w:rFonts w:ascii="Times New Roman" w:hAnsi="Times New Roman" w:eastAsia="宋体" w:cs="宋体"/>
                <w:sz w:val="20"/>
              </w:rPr>
            </w:pPr>
            <w:r>
              <w:rPr>
                <w:rFonts w:hint="eastAsia" w:ascii="Times New Roman" w:hAnsi="Times New Roman" w:eastAsia="宋体" w:cs="宋体"/>
                <w:color w:val="000000"/>
                <w:kern w:val="0"/>
                <w:sz w:val="20"/>
                <w:szCs w:val="20"/>
              </w:rPr>
              <w:t>指标1：</w:t>
            </w:r>
            <w:r>
              <w:rPr>
                <w:rFonts w:hint="eastAsia" w:ascii="Times New Roman" w:hAnsi="Times New Roman"/>
                <w:sz w:val="20"/>
                <w:szCs w:val="20"/>
              </w:rPr>
              <w:t>对单位履职、促进发展的可持续影响程度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满意度指标</w:t>
            </w:r>
          </w:p>
        </w:tc>
        <w:tc>
          <w:tcPr>
            <w:tcW w:w="2872" w:type="dxa"/>
            <w:tcBorders>
              <w:tl2br w:val="nil"/>
              <w:tr2bl w:val="nil"/>
            </w:tcBorders>
            <w:vAlign w:val="center"/>
          </w:tcPr>
          <w:p>
            <w:pPr>
              <w:widowControl/>
              <w:jc w:val="left"/>
              <w:textAlignment w:val="center"/>
              <w:rPr>
                <w:rFonts w:ascii="Times New Roman" w:hAnsi="Times New Roman" w:eastAsia="宋体" w:cs="宋体"/>
                <w:sz w:val="20"/>
              </w:rPr>
            </w:pPr>
            <w:r>
              <w:rPr>
                <w:rFonts w:hint="eastAsia" w:ascii="Times New Roman" w:hAnsi="Times New Roman" w:eastAsia="宋体" w:cs="宋体"/>
                <w:color w:val="000000"/>
                <w:kern w:val="0"/>
                <w:sz w:val="20"/>
                <w:szCs w:val="20"/>
              </w:rPr>
              <w:t>指标1：工作投诉次数</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0</w:t>
            </w:r>
          </w:p>
        </w:tc>
      </w:tr>
    </w:tbl>
    <w:p>
      <w:pPr>
        <w:ind w:firstLine="640" w:firstLineChars="200"/>
        <w:rPr>
          <w:rFonts w:ascii="Times New Roman" w:hAnsi="Times New Roman" w:eastAsia="仿宋_GB2312" w:cs="TimesNewRoman"/>
          <w:kern w:val="0"/>
          <w:sz w:val="32"/>
          <w:szCs w:val="32"/>
        </w:rPr>
      </w:pP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4、“单位运行劳务费”项目。</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NewRoman"/>
          <w:kern w:val="0"/>
          <w:sz w:val="32"/>
          <w:szCs w:val="32"/>
        </w:rPr>
        <w:t>（1）项目概述：</w:t>
      </w:r>
      <w:r>
        <w:rPr>
          <w:rFonts w:hint="eastAsia" w:ascii="Times New Roman" w:hAnsi="Times New Roman" w:eastAsia="仿宋_GB2312" w:cs="Times New Roman"/>
          <w:sz w:val="32"/>
          <w:szCs w:val="32"/>
        </w:rPr>
        <w:t>根据工作需要及用人合同约定情况，2024年度预计发生劳务费3.3万元。</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（2）立项依据：</w:t>
      </w:r>
      <w:r>
        <w:rPr>
          <w:rFonts w:hint="eastAsia" w:ascii="Times New Roman" w:hAnsi="Times New Roman" w:eastAsia="仿宋_GB2312" w:cs="Times New Roman"/>
          <w:sz w:val="32"/>
          <w:szCs w:val="32"/>
        </w:rPr>
        <w:t>根据工作需要及用人合同约定。</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（3）实施主体：淮北市审计局</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（4）起止时间：2024年1月-12月</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（5）项目内容：</w:t>
      </w:r>
      <w:r>
        <w:rPr>
          <w:rFonts w:hint="eastAsia" w:ascii="Times New Roman" w:hAnsi="Times New Roman" w:eastAsia="仿宋_GB2312" w:cs="Times New Roman"/>
          <w:sz w:val="32"/>
          <w:szCs w:val="32"/>
        </w:rPr>
        <w:t>根据工作需要及用人合同约定情况，2024年度预计发生劳务费3.3万元。</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（6）年度预算安排：3.3万元</w:t>
      </w:r>
    </w:p>
    <w:p>
      <w:pPr>
        <w:ind w:firstLine="640" w:firstLineChars="200"/>
        <w:rPr>
          <w:rFonts w:hint="eastAsia"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（7）绩效目标。</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23"/>
        <w:gridCol w:w="282"/>
        <w:gridCol w:w="477"/>
        <w:gridCol w:w="2872"/>
        <w:gridCol w:w="1848"/>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020" w:type="dxa"/>
            <w:gridSpan w:val="7"/>
            <w:tcBorders>
              <w:top w:val="nil"/>
              <w:left w:val="nil"/>
              <w:bottom w:val="nil"/>
              <w:right w:val="nil"/>
            </w:tcBorders>
            <w:vAlign w:val="center"/>
          </w:tcPr>
          <w:p>
            <w:pPr>
              <w:widowControl/>
              <w:jc w:val="center"/>
              <w:textAlignment w:val="center"/>
              <w:rPr>
                <w:rFonts w:ascii="Times New Roman" w:hAnsi="Times New Roman" w:cs="宋体"/>
                <w:b/>
                <w:bCs/>
                <w:szCs w:val="32"/>
              </w:rPr>
            </w:pPr>
            <w:r>
              <w:rPr>
                <w:rFonts w:hint="eastAsia" w:ascii="Times New Roman" w:hAnsi="Times New Roman" w:eastAsia="宋体" w:cs="宋体"/>
                <w:b/>
                <w:color w:val="000000"/>
                <w:kern w:val="0"/>
                <w:sz w:val="28"/>
                <w:szCs w:val="28"/>
              </w:rPr>
              <w:t>项目支出绩效目标表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9020" w:type="dxa"/>
            <w:gridSpan w:val="7"/>
            <w:tcBorders>
              <w:top w:val="nil"/>
              <w:left w:val="nil"/>
              <w:right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（2024年度）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项目名称</w:t>
            </w:r>
          </w:p>
        </w:tc>
        <w:tc>
          <w:tcPr>
            <w:tcW w:w="7577" w:type="dxa"/>
            <w:gridSpan w:val="4"/>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审计事业费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443" w:type="dxa"/>
            <w:gridSpan w:val="3"/>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主管部门   及代码</w:t>
            </w:r>
          </w:p>
        </w:tc>
        <w:tc>
          <w:tcPr>
            <w:tcW w:w="3349"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淮北市审计局</w:t>
            </w:r>
          </w:p>
        </w:tc>
        <w:tc>
          <w:tcPr>
            <w:tcW w:w="1848"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eastAsia="宋体" w:cs="宋体"/>
                <w:color w:val="000000"/>
                <w:kern w:val="0"/>
                <w:sz w:val="20"/>
                <w:szCs w:val="20"/>
              </w:rPr>
              <w:t>实施单位</w:t>
            </w:r>
          </w:p>
        </w:tc>
        <w:tc>
          <w:tcPr>
            <w:tcW w:w="2380" w:type="dxa"/>
            <w:tcBorders>
              <w:tl2br w:val="nil"/>
              <w:tr2bl w:val="nil"/>
            </w:tcBorders>
            <w:vAlign w:val="center"/>
          </w:tcPr>
          <w:p>
            <w:pPr>
              <w:jc w:val="center"/>
              <w:rPr>
                <w:rFonts w:ascii="Times New Roman" w:hAnsi="Times New Roman"/>
              </w:rPr>
            </w:pPr>
            <w:r>
              <w:rPr>
                <w:rFonts w:hint="eastAsia" w:ascii="Times New Roman" w:hAnsi="Times New Roman"/>
              </w:rPr>
              <w:t>淮北市审计局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项目来源</w:t>
            </w:r>
          </w:p>
        </w:tc>
        <w:tc>
          <w:tcPr>
            <w:tcW w:w="3349" w:type="dxa"/>
            <w:gridSpan w:val="2"/>
            <w:tcBorders>
              <w:tl2br w:val="nil"/>
              <w:tr2bl w:val="nil"/>
            </w:tcBorders>
            <w:vAlign w:val="center"/>
          </w:tcPr>
          <w:p>
            <w:pPr>
              <w:jc w:val="center"/>
              <w:rPr>
                <w:rFonts w:ascii="Times New Roman" w:hAnsi="Times New Roman" w:cs="宋体"/>
                <w:sz w:val="20"/>
              </w:rPr>
            </w:pPr>
          </w:p>
        </w:tc>
        <w:tc>
          <w:tcPr>
            <w:tcW w:w="1848" w:type="dxa"/>
            <w:tcBorders>
              <w:tl2br w:val="nil"/>
              <w:tr2bl w:val="nil"/>
            </w:tcBorders>
            <w:vAlign w:val="center"/>
          </w:tcPr>
          <w:p>
            <w:pPr>
              <w:widowControl/>
              <w:jc w:val="center"/>
              <w:textAlignment w:val="center"/>
              <w:rPr>
                <w:rFonts w:ascii="Times New Roman" w:hAnsi="Times New Roman"/>
              </w:rPr>
            </w:pPr>
            <w:r>
              <w:rPr>
                <w:rFonts w:hint="eastAsia" w:ascii="Times New Roman" w:hAnsi="Times New Roman" w:eastAsia="宋体" w:cs="宋体"/>
                <w:color w:val="000000"/>
                <w:kern w:val="0"/>
                <w:sz w:val="20"/>
                <w:szCs w:val="20"/>
              </w:rPr>
              <w:t>项目期</w:t>
            </w:r>
          </w:p>
        </w:tc>
        <w:tc>
          <w:tcPr>
            <w:tcW w:w="2380" w:type="dxa"/>
            <w:tcBorders>
              <w:tl2br w:val="nil"/>
              <w:tr2bl w:val="nil"/>
            </w:tcBorders>
            <w:vAlign w:val="center"/>
          </w:tcPr>
          <w:p>
            <w:pPr>
              <w:jc w:val="center"/>
              <w:rPr>
                <w:rFonts w:ascii="Times New Roman" w:hAnsi="Times New Roman"/>
              </w:rPr>
            </w:pPr>
            <w:r>
              <w:rPr>
                <w:rFonts w:hint="eastAsia" w:ascii="Times New Roman" w:hAnsi="Times New Roman"/>
              </w:rPr>
              <w:t>2024年1月-12月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项目资金</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（万元）</w:t>
            </w: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年度资金总额：</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其中：财政拨款</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上年结转</w:t>
            </w:r>
          </w:p>
        </w:tc>
        <w:tc>
          <w:tcPr>
            <w:tcW w:w="4228" w:type="dxa"/>
            <w:gridSpan w:val="2"/>
            <w:tcBorders>
              <w:tl2br w:val="nil"/>
              <w:tr2bl w:val="nil"/>
            </w:tcBorders>
            <w:vAlign w:val="center"/>
          </w:tcPr>
          <w:p>
            <w:pPr>
              <w:jc w:val="center"/>
              <w:rPr>
                <w:rFonts w:ascii="Times New Roman" w:hAnsi="Times New Roman"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3" w:type="dxa"/>
            <w:gridSpan w:val="3"/>
            <w:vMerge w:val="continue"/>
            <w:tcBorders>
              <w:tl2br w:val="nil"/>
              <w:tr2bl w:val="nil"/>
            </w:tcBorders>
            <w:vAlign w:val="center"/>
          </w:tcPr>
          <w:p>
            <w:pPr>
              <w:jc w:val="center"/>
              <w:rPr>
                <w:rFonts w:ascii="Times New Roman" w:hAnsi="Times New Roman" w:cs="宋体"/>
                <w:sz w:val="20"/>
              </w:rPr>
            </w:pPr>
          </w:p>
        </w:tc>
        <w:tc>
          <w:tcPr>
            <w:tcW w:w="3349" w:type="dxa"/>
            <w:gridSpan w:val="2"/>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 xml:space="preserve">         其他资金</w:t>
            </w:r>
          </w:p>
        </w:tc>
        <w:tc>
          <w:tcPr>
            <w:tcW w:w="4228" w:type="dxa"/>
            <w:gridSpan w:val="2"/>
            <w:tcBorders>
              <w:tl2br w:val="nil"/>
              <w:tr2bl w:val="nil"/>
            </w:tcBorders>
            <w:vAlign w:val="center"/>
          </w:tcPr>
          <w:p>
            <w:pPr>
              <w:jc w:val="right"/>
              <w:rPr>
                <w:rFonts w:ascii="Times New Roman" w:hAnsi="Times New Roman"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438" w:type="dxa"/>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年度</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目标</w:t>
            </w:r>
          </w:p>
        </w:tc>
        <w:tc>
          <w:tcPr>
            <w:tcW w:w="8582" w:type="dxa"/>
            <w:gridSpan w:val="6"/>
            <w:tcBorders>
              <w:tl2br w:val="nil"/>
              <w:tr2bl w:val="nil"/>
            </w:tcBorders>
            <w:vAlign w:val="center"/>
          </w:tcPr>
          <w:p>
            <w:pPr>
              <w:rPr>
                <w:rFonts w:ascii="Times New Roman" w:hAnsi="Times New Roman"/>
                <w:sz w:val="20"/>
                <w:szCs w:val="20"/>
              </w:rPr>
            </w:pPr>
            <w:r>
              <w:rPr>
                <w:rFonts w:hint="eastAsia" w:ascii="Times New Roman" w:hAnsi="Times New Roman"/>
                <w:sz w:val="20"/>
                <w:szCs w:val="20"/>
              </w:rPr>
              <w:t xml:space="preserve">目标1：保障审计工作正常开展 </w:t>
            </w:r>
          </w:p>
          <w:p>
            <w:pPr>
              <w:rPr>
                <w:rFonts w:ascii="Times New Roman" w:hAnsi="Times New Roman"/>
                <w:sz w:val="20"/>
                <w:szCs w:val="20"/>
              </w:rPr>
            </w:pPr>
            <w:r>
              <w:rPr>
                <w:rFonts w:hint="eastAsia" w:ascii="Times New Roman" w:hAnsi="Times New Roman"/>
                <w:sz w:val="20"/>
                <w:szCs w:val="20"/>
              </w:rPr>
              <w:t>目标2：节约财政资金</w:t>
            </w:r>
          </w:p>
          <w:p>
            <w:pPr>
              <w:jc w:val="left"/>
              <w:rPr>
                <w:rFonts w:ascii="Times New Roman" w:hAnsi="Times New Roman" w:cs="宋体"/>
                <w:sz w:val="20"/>
              </w:rPr>
            </w:pPr>
            <w:r>
              <w:rPr>
                <w:rFonts w:hint="eastAsia" w:ascii="Times New Roman" w:hAnsi="Times New Roman"/>
                <w:sz w:val="20"/>
                <w:szCs w:val="20"/>
              </w:rPr>
              <w:t>目标3：提高公共资金使用绩效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38"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绩</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效</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指</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标</w:t>
            </w:r>
          </w:p>
        </w:tc>
        <w:tc>
          <w:tcPr>
            <w:tcW w:w="723" w:type="dxa"/>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一级</w:t>
            </w:r>
            <w:r>
              <w:rPr>
                <w:rFonts w:hint="eastAsia" w:ascii="Times New Roman" w:hAnsi="Times New Roman" w:eastAsia="宋体" w:cs="宋体"/>
                <w:color w:val="000000"/>
                <w:kern w:val="0"/>
                <w:sz w:val="20"/>
                <w:szCs w:val="20"/>
              </w:rPr>
              <w:br w:type="textWrapping"/>
            </w:r>
            <w:r>
              <w:rPr>
                <w:rFonts w:hint="eastAsia" w:ascii="Times New Roman" w:hAnsi="Times New Roman" w:eastAsia="宋体" w:cs="宋体"/>
                <w:color w:val="000000"/>
                <w:kern w:val="0"/>
                <w:sz w:val="20"/>
                <w:szCs w:val="20"/>
              </w:rPr>
              <w:t>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二级指标</w:t>
            </w:r>
          </w:p>
        </w:tc>
        <w:tc>
          <w:tcPr>
            <w:tcW w:w="2872" w:type="dxa"/>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三级指标</w:t>
            </w:r>
          </w:p>
        </w:tc>
        <w:tc>
          <w:tcPr>
            <w:tcW w:w="4228" w:type="dxa"/>
            <w:gridSpan w:val="2"/>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产出指标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数量指标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指标1：就业人数数量</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质量指标</w:t>
            </w:r>
          </w:p>
        </w:tc>
        <w:tc>
          <w:tcPr>
            <w:tcW w:w="2872" w:type="dxa"/>
            <w:tcBorders>
              <w:tl2br w:val="nil"/>
              <w:tr2bl w:val="nil"/>
            </w:tcBorders>
            <w:vAlign w:val="center"/>
          </w:tcPr>
          <w:p>
            <w:pPr>
              <w:widowControl/>
              <w:jc w:val="left"/>
              <w:textAlignment w:val="center"/>
              <w:rPr>
                <w:rFonts w:hint="eastAsia"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指标1：就业补贴发放</w:t>
            </w:r>
          </w:p>
          <w:p>
            <w:pPr>
              <w:widowControl/>
              <w:jc w:val="left"/>
              <w:textAlignment w:val="center"/>
              <w:rPr>
                <w:rFonts w:ascii="Times New Roman" w:hAnsi="Times New Roman" w:cs="宋体"/>
                <w:sz w:val="20"/>
              </w:rPr>
            </w:pP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时效指标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指标1：审计项目完成时效</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12个月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成本指标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指标1：完成本年度项目所需费用</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3.3万元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restart"/>
            <w:tcBorders>
              <w:tl2br w:val="nil"/>
              <w:tr2bl w:val="nil"/>
            </w:tcBorders>
            <w:vAlign w:val="center"/>
          </w:tcPr>
          <w:p>
            <w:pPr>
              <w:widowControl/>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效益指标</w:t>
            </w: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经济效益指标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指标1：节约财政资金影响程度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社会效益指标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w:t>
            </w:r>
            <w:r>
              <w:rPr>
                <w:rFonts w:hint="eastAsia" w:ascii="Times New Roman" w:hAnsi="Times New Roman"/>
                <w:sz w:val="20"/>
                <w:szCs w:val="20"/>
              </w:rPr>
              <w:t>提高就业质量</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textAlignment w:val="center"/>
              <w:rPr>
                <w:rFonts w:ascii="Times New Roman" w:hAnsi="Times New Roman" w:cs="宋体"/>
                <w:sz w:val="20"/>
              </w:rPr>
            </w:pPr>
            <w:r>
              <w:rPr>
                <w:rFonts w:hint="eastAsia" w:ascii="Times New Roman" w:hAnsi="Times New Roman" w:eastAsia="宋体" w:cs="宋体"/>
                <w:color w:val="000000"/>
                <w:kern w:val="0"/>
                <w:sz w:val="20"/>
                <w:szCs w:val="20"/>
              </w:rPr>
              <w:t>生态效益指标</w:t>
            </w:r>
          </w:p>
        </w:tc>
        <w:tc>
          <w:tcPr>
            <w:tcW w:w="2872" w:type="dxa"/>
            <w:tcBorders>
              <w:tl2br w:val="nil"/>
              <w:tr2bl w:val="nil"/>
            </w:tcBorders>
            <w:vAlign w:val="center"/>
          </w:tcPr>
          <w:p>
            <w:pPr>
              <w:widowControl/>
              <w:jc w:val="left"/>
              <w:textAlignment w:val="center"/>
              <w:rPr>
                <w:rFonts w:ascii="Times New Roman" w:hAnsi="Times New Roman" w:cs="宋体"/>
                <w:sz w:val="20"/>
              </w:rPr>
            </w:pPr>
            <w:r>
              <w:rPr>
                <w:rFonts w:hint="eastAsia" w:ascii="Times New Roman" w:hAnsi="Times New Roman" w:eastAsia="宋体" w:cs="宋体"/>
                <w:color w:val="000000"/>
                <w:kern w:val="0"/>
                <w:sz w:val="20"/>
                <w:szCs w:val="20"/>
              </w:rPr>
              <w:t>指标1：对生态环保影响程度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vMerge w:val="continue"/>
            <w:tcBorders>
              <w:tl2br w:val="nil"/>
              <w:tr2bl w:val="nil"/>
            </w:tcBorders>
            <w:vAlign w:val="center"/>
          </w:tcPr>
          <w:p>
            <w:pPr>
              <w:jc w:val="center"/>
              <w:rPr>
                <w:rFonts w:ascii="Times New Roman" w:hAnsi="Times New Roman" w:cs="宋体"/>
                <w:sz w:val="20"/>
              </w:rPr>
            </w:pPr>
          </w:p>
        </w:tc>
        <w:tc>
          <w:tcPr>
            <w:tcW w:w="759" w:type="dxa"/>
            <w:gridSpan w:val="2"/>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可持续影响指标</w:t>
            </w:r>
          </w:p>
        </w:tc>
        <w:tc>
          <w:tcPr>
            <w:tcW w:w="2872" w:type="dxa"/>
            <w:tcBorders>
              <w:tl2br w:val="nil"/>
              <w:tr2bl w:val="nil"/>
            </w:tcBorders>
            <w:vAlign w:val="center"/>
          </w:tcPr>
          <w:p>
            <w:pPr>
              <w:widowControl/>
              <w:jc w:val="left"/>
              <w:textAlignment w:val="center"/>
              <w:rPr>
                <w:rFonts w:ascii="Times New Roman" w:hAnsi="Times New Roman" w:eastAsia="宋体" w:cs="宋体"/>
                <w:sz w:val="20"/>
              </w:rPr>
            </w:pPr>
            <w:r>
              <w:rPr>
                <w:rFonts w:hint="eastAsia" w:ascii="Times New Roman" w:hAnsi="Times New Roman" w:eastAsia="宋体" w:cs="宋体"/>
                <w:color w:val="000000"/>
                <w:kern w:val="0"/>
                <w:sz w:val="20"/>
                <w:szCs w:val="20"/>
              </w:rPr>
              <w:t>指标1：</w:t>
            </w:r>
            <w:r>
              <w:rPr>
                <w:rFonts w:hint="eastAsia" w:ascii="Times New Roman" w:hAnsi="Times New Roman"/>
                <w:sz w:val="20"/>
                <w:szCs w:val="20"/>
              </w:rPr>
              <w:t>对单位履职、促进发展的可持续影响程度</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438" w:type="dxa"/>
            <w:vMerge w:val="continue"/>
            <w:tcBorders>
              <w:tl2br w:val="nil"/>
              <w:tr2bl w:val="nil"/>
            </w:tcBorders>
            <w:vAlign w:val="center"/>
          </w:tcPr>
          <w:p>
            <w:pPr>
              <w:jc w:val="center"/>
              <w:rPr>
                <w:rFonts w:ascii="Times New Roman" w:hAnsi="Times New Roman" w:cs="宋体"/>
                <w:sz w:val="20"/>
              </w:rPr>
            </w:pPr>
          </w:p>
        </w:tc>
        <w:tc>
          <w:tcPr>
            <w:tcW w:w="723" w:type="dxa"/>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满意度指标</w:t>
            </w:r>
          </w:p>
        </w:tc>
        <w:tc>
          <w:tcPr>
            <w:tcW w:w="759" w:type="dxa"/>
            <w:gridSpan w:val="2"/>
            <w:tcBorders>
              <w:tl2br w:val="nil"/>
              <w:tr2bl w:val="nil"/>
            </w:tcBorders>
            <w:vAlign w:val="center"/>
          </w:tcPr>
          <w:p>
            <w:pPr>
              <w:widowControl/>
              <w:spacing w:line="200" w:lineRule="exact"/>
              <w:jc w:val="center"/>
              <w:rPr>
                <w:rFonts w:ascii="Times New Roman" w:hAnsi="Times New Roman" w:eastAsia="宋体" w:cs="宋体"/>
                <w:sz w:val="20"/>
              </w:rPr>
            </w:pPr>
            <w:r>
              <w:rPr>
                <w:rFonts w:hint="eastAsia" w:ascii="Times New Roman" w:hAnsi="Times New Roman" w:eastAsia="宋体" w:cs="宋体"/>
                <w:sz w:val="20"/>
              </w:rPr>
              <w:t>满意度指标</w:t>
            </w:r>
          </w:p>
        </w:tc>
        <w:tc>
          <w:tcPr>
            <w:tcW w:w="2872" w:type="dxa"/>
            <w:tcBorders>
              <w:tl2br w:val="nil"/>
              <w:tr2bl w:val="nil"/>
            </w:tcBorders>
            <w:vAlign w:val="center"/>
          </w:tcPr>
          <w:p>
            <w:pPr>
              <w:widowControl/>
              <w:jc w:val="left"/>
              <w:textAlignment w:val="center"/>
              <w:rPr>
                <w:rFonts w:ascii="Times New Roman" w:hAnsi="Times New Roman" w:eastAsia="宋体" w:cs="宋体"/>
                <w:sz w:val="20"/>
              </w:rPr>
            </w:pPr>
            <w:r>
              <w:rPr>
                <w:rFonts w:hint="eastAsia" w:ascii="Times New Roman" w:hAnsi="Times New Roman" w:eastAsia="宋体" w:cs="宋体"/>
                <w:color w:val="000000"/>
                <w:kern w:val="0"/>
                <w:sz w:val="20"/>
                <w:szCs w:val="20"/>
              </w:rPr>
              <w:t>指标1：就业人员工作投诉次数</w:t>
            </w:r>
          </w:p>
        </w:tc>
        <w:tc>
          <w:tcPr>
            <w:tcW w:w="4228" w:type="dxa"/>
            <w:gridSpan w:val="2"/>
            <w:tcBorders>
              <w:tl2br w:val="nil"/>
              <w:tr2bl w:val="nil"/>
            </w:tcBorders>
            <w:vAlign w:val="center"/>
          </w:tcPr>
          <w:p>
            <w:pPr>
              <w:jc w:val="center"/>
              <w:rPr>
                <w:rFonts w:ascii="Times New Roman" w:hAnsi="Times New Roman" w:cs="宋体"/>
                <w:sz w:val="20"/>
              </w:rPr>
            </w:pPr>
            <w:r>
              <w:rPr>
                <w:rFonts w:hint="eastAsia" w:ascii="Times New Roman" w:hAnsi="Times New Roman" w:cs="宋体"/>
                <w:sz w:val="20"/>
              </w:rPr>
              <w:t>0</w:t>
            </w:r>
          </w:p>
        </w:tc>
      </w:tr>
    </w:tbl>
    <w:p>
      <w:pPr>
        <w:adjustRightInd w:val="0"/>
        <w:snapToGrid w:val="0"/>
        <w:spacing w:line="580" w:lineRule="exact"/>
        <w:ind w:firstLine="640" w:firstLineChars="200"/>
        <w:rPr>
          <w:rFonts w:ascii="Times New Roman" w:hAnsi="Times New Roman" w:eastAsia="仿宋_GB2312" w:cs="TimesNewRoman"/>
          <w:kern w:val="0"/>
          <w:sz w:val="32"/>
          <w:szCs w:val="32"/>
        </w:rPr>
      </w:pPr>
    </w:p>
    <w:p>
      <w:pPr>
        <w:adjustRightInd w:val="0"/>
        <w:snapToGrid w:val="0"/>
        <w:spacing w:line="58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（二）机关运行经费。</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淮北市审计局2024年机关运行经费财政拨款预算1238.03万元，比2023年预算减少247.68万元，下降16.67%，原因主要是节约开支。</w:t>
      </w:r>
    </w:p>
    <w:p>
      <w:pPr>
        <w:adjustRightInd w:val="0"/>
        <w:snapToGrid w:val="0"/>
        <w:spacing w:line="58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（三）政府采购情况。</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淮北市审计局2024年政府采购预算5.58万元。其中：政府采购货物预算5.58万元，政府采购工程预算0万元，政府采购服务预算0万元。</w:t>
      </w:r>
    </w:p>
    <w:p>
      <w:pPr>
        <w:adjustRightInd w:val="0"/>
        <w:snapToGrid w:val="0"/>
        <w:spacing w:line="58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（四）国有资产占有使用情况。</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截至2023年12月31日，淮北市审计局共有车辆0辆，其中：主要领导干部用车0辆、机要通信用车0辆、应急保障用车0辆、执法执勤用车0辆、特种专业技术用车0辆、离退休干部用车0辆、其他用车0辆（只列报车辆不为0的车型）。单价50万元以上的通用设备0台（套），单价100万元以上的专用设备0台（套）。</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2024年部门（单位）预算安排购置公务用车0辆，购置费0万元，其中：主要领导干部用车0辆、机要通信用车0辆、应急保障用车0辆、执法执勤用车0辆、特种专业技术用车0辆、离退休干部用车0辆、其他用车0辆（只列报车辆不为0的车型）；安排购置单价50万元以上的通用设备0台（套），购置费0万元；安排购置单价100万元以上专用设备0台（套），购置费0万元。</w:t>
      </w:r>
    </w:p>
    <w:p>
      <w:pPr>
        <w:adjustRightInd w:val="0"/>
        <w:snapToGrid w:val="0"/>
        <w:spacing w:line="580" w:lineRule="exact"/>
        <w:ind w:firstLine="643" w:firstLineChars="200"/>
        <w:rPr>
          <w:rFonts w:ascii="Times New Roman" w:hAnsi="Times New Roman" w:eastAsia="仿宋_GB2312" w:cs="TimesNewRoman"/>
          <w:b/>
          <w:sz w:val="32"/>
          <w:szCs w:val="32"/>
        </w:rPr>
      </w:pPr>
      <w:r>
        <w:rPr>
          <w:rFonts w:hint="eastAsia" w:ascii="Times New Roman" w:hAnsi="Times New Roman" w:eastAsia="仿宋_GB2312" w:cs="TimesNewRoman"/>
          <w:b/>
          <w:sz w:val="32"/>
          <w:szCs w:val="32"/>
        </w:rPr>
        <w:t>（五）绩效目标设置情况。</w:t>
      </w:r>
    </w:p>
    <w:p>
      <w:pPr>
        <w:ind w:firstLine="640" w:firstLineChars="200"/>
        <w:rPr>
          <w:rFonts w:ascii="Times New Roman" w:hAnsi="Times New Roman" w:eastAsia="仿宋_GB2312" w:cs="TimesNewRoman"/>
          <w:kern w:val="0"/>
          <w:sz w:val="32"/>
          <w:szCs w:val="32"/>
        </w:rPr>
      </w:pPr>
      <w:r>
        <w:rPr>
          <w:rFonts w:hint="eastAsia" w:ascii="Times New Roman" w:hAnsi="Times New Roman" w:eastAsia="仿宋_GB2312" w:cs="TimesNewRoman"/>
          <w:kern w:val="0"/>
          <w:sz w:val="32"/>
          <w:szCs w:val="32"/>
        </w:rPr>
        <w:t>2024年，淮北市审计局4个项目实行了绩效目标管理，涉及一般公共预算当年财政拨款1250万元、政府性基金预算当年财政拨款0万元、财政专户管理资金当年安排0万元。</w:t>
      </w:r>
    </w:p>
    <w:p>
      <w:pPr>
        <w:pStyle w:val="4"/>
        <w:adjustRightInd w:val="0"/>
        <w:snapToGrid w:val="0"/>
        <w:spacing w:line="560" w:lineRule="exact"/>
        <w:jc w:val="center"/>
        <w:rPr>
          <w:rFonts w:ascii="Times New Roman" w:hAnsi="Times New Roman" w:eastAsia="黑体" w:cs="TimesNewRoman"/>
          <w:bCs/>
          <w:sz w:val="36"/>
          <w:szCs w:val="36"/>
        </w:rPr>
      </w:pPr>
    </w:p>
    <w:p>
      <w:pPr>
        <w:pStyle w:val="4"/>
        <w:adjustRightInd w:val="0"/>
        <w:snapToGrid w:val="0"/>
        <w:spacing w:line="560" w:lineRule="exact"/>
        <w:jc w:val="center"/>
        <w:rPr>
          <w:rFonts w:ascii="Times New Roman" w:hAnsi="Times New Roman" w:eastAsia="黑体" w:cs="TimesNewRoman"/>
          <w:bCs/>
          <w:sz w:val="36"/>
          <w:szCs w:val="36"/>
        </w:rPr>
      </w:pPr>
      <w:r>
        <w:rPr>
          <w:rFonts w:hint="eastAsia" w:ascii="Times New Roman" w:hAnsi="Times New Roman" w:eastAsia="黑体" w:cs="TimesNewRoman"/>
          <w:bCs/>
          <w:sz w:val="36"/>
          <w:szCs w:val="36"/>
        </w:rPr>
        <w:t>第四部分 名词解释</w:t>
      </w:r>
    </w:p>
    <w:p>
      <w:pPr>
        <w:rPr>
          <w:rFonts w:ascii="Times New Roman" w:hAnsi="Times New Roman"/>
        </w:rPr>
      </w:pP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一、财政拨款收入：</w:t>
      </w:r>
      <w:r>
        <w:rPr>
          <w:rFonts w:hint="eastAsia" w:ascii="Times New Roman" w:hAnsi="Times New Roman" w:eastAsia="仿宋_GB2312" w:cs="TimesNewRoman"/>
          <w:sz w:val="32"/>
          <w:szCs w:val="32"/>
        </w:rPr>
        <w:t>指部门或单位从同级财政部门取得的财政预算资金。</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二、事业收入：</w:t>
      </w:r>
      <w:r>
        <w:rPr>
          <w:rFonts w:hint="eastAsia" w:ascii="Times New Roman" w:hAnsi="Times New Roman" w:eastAsia="仿宋_GB2312" w:cs="TimesNewRoman"/>
          <w:sz w:val="32"/>
          <w:szCs w:val="32"/>
        </w:rPr>
        <w:t>指事业单位开展专业业务活动及辅助活动所取得的收入。</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三、财政专户管理资金：</w:t>
      </w:r>
      <w:r>
        <w:rPr>
          <w:rFonts w:hint="eastAsia" w:ascii="Times New Roman" w:hAnsi="Times New Roman" w:eastAsia="仿宋_GB2312" w:cs="TimesNewRoman"/>
          <w:sz w:val="32"/>
          <w:szCs w:val="32"/>
        </w:rPr>
        <w:t>指按照非税收入管理相关规定，纳入财政专户管理的教育收费等。</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四、事业单位经营收入：</w:t>
      </w:r>
      <w:r>
        <w:rPr>
          <w:rFonts w:hint="eastAsia" w:ascii="Times New Roman" w:hAnsi="Times New Roman" w:eastAsia="仿宋_GB2312" w:cs="TimesNewRoman"/>
          <w:sz w:val="32"/>
          <w:szCs w:val="32"/>
        </w:rPr>
        <w:t>指事业单位在专业业务活动及其辅助活动之外开展非独立核算经营活动取得的收入。</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五、附属单位上缴收入：</w:t>
      </w:r>
      <w:r>
        <w:rPr>
          <w:rFonts w:hint="eastAsia" w:ascii="Times New Roman" w:hAnsi="Times New Roman" w:eastAsia="仿宋_GB2312" w:cs="TimesNewRoman"/>
          <w:sz w:val="32"/>
          <w:szCs w:val="32"/>
        </w:rPr>
        <w:t>本单位所属下级单位上缴给本单位的全部收入。</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六、上年结转：</w:t>
      </w:r>
      <w:r>
        <w:rPr>
          <w:rFonts w:hint="eastAsia" w:ascii="Times New Roman" w:hAnsi="Times New Roman" w:eastAsia="仿宋_GB2312" w:cs="TimesNewRoman"/>
          <w:sz w:val="32"/>
          <w:szCs w:val="32"/>
        </w:rPr>
        <w:t>指以前年度安排、结转到本年仍按原用途继续使用的资金。</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七、结转下年：</w:t>
      </w:r>
      <w:r>
        <w:rPr>
          <w:rFonts w:hint="eastAsia" w:ascii="Times New Roman" w:hAnsi="Times New Roman" w:eastAsia="仿宋_GB2312" w:cs="TimesNewRoman"/>
          <w:sz w:val="32"/>
          <w:szCs w:val="32"/>
        </w:rPr>
        <w:t>指以前年度预算安排、因客观条件发生变化无法按原计划实施，需以后年度按原用途继续使用的资金。</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八、基本支出：</w:t>
      </w:r>
      <w:r>
        <w:rPr>
          <w:rFonts w:hint="eastAsia" w:ascii="Times New Roman" w:hAnsi="Times New Roman" w:eastAsia="仿宋_GB2312" w:cs="TimesNewRoman"/>
          <w:sz w:val="32"/>
          <w:szCs w:val="32"/>
        </w:rPr>
        <w:t>指为保障机构正常运转、完成日常工作任务而发生的人员支出和公用支出。</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九、项目支出：</w:t>
      </w:r>
      <w:r>
        <w:rPr>
          <w:rFonts w:hint="eastAsia" w:ascii="Times New Roman" w:hAnsi="Times New Roman" w:eastAsia="仿宋_GB2312" w:cs="TimesNewRoman"/>
          <w:sz w:val="32"/>
          <w:szCs w:val="32"/>
        </w:rPr>
        <w:t>指在除基本支出之外的支出，主要用于完成特定的工作任务和事业发展目标。</w:t>
      </w:r>
    </w:p>
    <w:p>
      <w:pPr>
        <w:pStyle w:val="4"/>
        <w:adjustRightInd w:val="0"/>
        <w:snapToGrid w:val="0"/>
        <w:spacing w:line="560" w:lineRule="exact"/>
        <w:ind w:firstLine="630" w:firstLineChars="196"/>
        <w:rPr>
          <w:rFonts w:ascii="Times New Roman" w:hAnsi="Times New Roman" w:eastAsia="仿宋_GB2312" w:cs="TimesNewRoman"/>
          <w:sz w:val="32"/>
          <w:szCs w:val="32"/>
        </w:rPr>
      </w:pPr>
      <w:r>
        <w:rPr>
          <w:rFonts w:hint="eastAsia" w:ascii="Times New Roman" w:hAnsi="Times New Roman" w:eastAsia="仿宋_GB2312" w:cs="TimesNewRoman"/>
          <w:b/>
          <w:sz w:val="32"/>
          <w:szCs w:val="32"/>
        </w:rPr>
        <w:t xml:space="preserve">十、机关运行经费: </w:t>
      </w:r>
      <w:r>
        <w:rPr>
          <w:rFonts w:hint="eastAsia" w:ascii="Times New Roman" w:hAnsi="Times New Roman" w:eastAsia="仿宋_GB2312" w:cs="TimesNewRoman"/>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p>
      <w:pPr>
        <w:rPr>
          <w:rFonts w:ascii="Times New Roman" w:hAnsi="Times New Roman"/>
        </w:rPr>
      </w:pPr>
    </w:p>
    <w:sectPr>
      <w:pgSz w:w="11906" w:h="16838"/>
      <w:pgMar w:top="1304" w:right="1134" w:bottom="130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imesNewRoman">
    <w:altName w:val="Segoe Print"/>
    <w:panose1 w:val="00000000000000000000"/>
    <w:charset w:val="00"/>
    <w:family w:val="auto"/>
    <w:pitch w:val="default"/>
    <w:sig w:usb0="00000000" w:usb1="00000000" w:usb2="00000029" w:usb3="00000000" w:csb0="600001FF" w:csb1="FFFF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3MDRlNzJkNzhiYzk5YTQ4MDllZmRiYmU0Y2U3ZjIifQ=="/>
  </w:docVars>
  <w:rsids>
    <w:rsidRoot w:val="00E907C4"/>
    <w:rsid w:val="00031731"/>
    <w:rsid w:val="0008249C"/>
    <w:rsid w:val="000B5D38"/>
    <w:rsid w:val="000E28EE"/>
    <w:rsid w:val="00167D5D"/>
    <w:rsid w:val="00204F00"/>
    <w:rsid w:val="002359DE"/>
    <w:rsid w:val="00267E33"/>
    <w:rsid w:val="00267F51"/>
    <w:rsid w:val="00292C45"/>
    <w:rsid w:val="002B758D"/>
    <w:rsid w:val="002F49EE"/>
    <w:rsid w:val="003F0B02"/>
    <w:rsid w:val="004A4DC6"/>
    <w:rsid w:val="00530631"/>
    <w:rsid w:val="00540E2B"/>
    <w:rsid w:val="0057562B"/>
    <w:rsid w:val="005D778D"/>
    <w:rsid w:val="006546AF"/>
    <w:rsid w:val="006A251B"/>
    <w:rsid w:val="00726D96"/>
    <w:rsid w:val="00782468"/>
    <w:rsid w:val="007D68EE"/>
    <w:rsid w:val="007E7246"/>
    <w:rsid w:val="00833DEA"/>
    <w:rsid w:val="0085062C"/>
    <w:rsid w:val="008639B2"/>
    <w:rsid w:val="008F6D1A"/>
    <w:rsid w:val="009A3CA3"/>
    <w:rsid w:val="009F2E27"/>
    <w:rsid w:val="00A322D1"/>
    <w:rsid w:val="00A91456"/>
    <w:rsid w:val="00AE3242"/>
    <w:rsid w:val="00B147AD"/>
    <w:rsid w:val="00B665EB"/>
    <w:rsid w:val="00B93E14"/>
    <w:rsid w:val="00B94CAB"/>
    <w:rsid w:val="00BD640A"/>
    <w:rsid w:val="00C00D99"/>
    <w:rsid w:val="00C02BB4"/>
    <w:rsid w:val="00C966F2"/>
    <w:rsid w:val="00DB2A5C"/>
    <w:rsid w:val="00DD6B16"/>
    <w:rsid w:val="00DD7738"/>
    <w:rsid w:val="00E907C4"/>
    <w:rsid w:val="00EC7755"/>
    <w:rsid w:val="00F943B2"/>
    <w:rsid w:val="00F974AD"/>
    <w:rsid w:val="00FA65FF"/>
    <w:rsid w:val="00FC57BE"/>
    <w:rsid w:val="17AC1DAD"/>
    <w:rsid w:val="56431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autoRedefine/>
    <w:semiHidden/>
    <w:qFormat/>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1605</Words>
  <Characters>9151</Characters>
  <Lines>76</Lines>
  <Paragraphs>21</Paragraphs>
  <TotalTime>80</TotalTime>
  <ScaleCrop>false</ScaleCrop>
  <LinksUpToDate>false</LinksUpToDate>
  <CharactersWithSpaces>10735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2024-02-18T07:32:00Z</dcterms:created>
  <dc:creator>lenovo</dc:creator>
  <cp:lastModifiedBy>波罗蜜冬瓜</cp:lastModifiedBy>
  <dcterms:modified xsi:type="dcterms:W3CDTF">2024-03-15T08:58:45Z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4625A9DD104C45EA979C192688CBE8B8_13</vt:lpwstr>
  </property>
</Properties>
</file>